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C6" w:rsidRPr="003B7E3F" w:rsidRDefault="00024AC6">
      <w:pPr>
        <w:tabs>
          <w:tab w:val="clear" w:pos="864"/>
          <w:tab w:val="clear" w:pos="1728"/>
        </w:tabs>
        <w:jc w:val="left"/>
        <w:rPr>
          <w:rFonts w:eastAsia="Calibri" w:cs="Arial"/>
          <w:caps/>
          <w:color w:val="003478"/>
          <w:spacing w:val="-2"/>
          <w:kern w:val="28"/>
          <w:sz w:val="44"/>
          <w:szCs w:val="52"/>
          <w:lang w:val="en-GB"/>
        </w:rPr>
      </w:pPr>
    </w:p>
    <w:p w:rsidR="00E77F2C" w:rsidRPr="003B7E3F" w:rsidRDefault="00E77F2C">
      <w:pPr>
        <w:tabs>
          <w:tab w:val="clear" w:pos="864"/>
          <w:tab w:val="clear" w:pos="1728"/>
        </w:tabs>
        <w:jc w:val="left"/>
        <w:rPr>
          <w:rFonts w:eastAsia="Calibri" w:cs="Arial"/>
          <w:caps/>
          <w:color w:val="003478"/>
          <w:spacing w:val="-2"/>
          <w:kern w:val="28"/>
          <w:sz w:val="44"/>
          <w:szCs w:val="52"/>
          <w:lang w:val="en-GB"/>
        </w:rPr>
      </w:pPr>
    </w:p>
    <w:p w:rsidR="00783CAE" w:rsidRPr="003B7E3F" w:rsidRDefault="00783CAE" w:rsidP="00783CAE">
      <w:pPr>
        <w:keepLines/>
        <w:tabs>
          <w:tab w:val="clear" w:pos="864"/>
          <w:tab w:val="clear" w:pos="1728"/>
        </w:tabs>
        <w:spacing w:after="240" w:line="440" w:lineRule="exact"/>
        <w:contextualSpacing/>
        <w:jc w:val="left"/>
        <w:rPr>
          <w:rFonts w:eastAsia="Calibri" w:cs="Arial"/>
          <w:caps/>
          <w:color w:val="003478"/>
          <w:spacing w:val="-2"/>
          <w:kern w:val="28"/>
          <w:sz w:val="44"/>
          <w:szCs w:val="52"/>
          <w:lang w:val="en-GB"/>
        </w:rPr>
      </w:pPr>
      <w:bookmarkStart w:id="0" w:name="_GoBack"/>
      <w:bookmarkEnd w:id="0"/>
    </w:p>
    <w:p w:rsidR="00783CAE" w:rsidRPr="00CF6B5F" w:rsidRDefault="00783CAE" w:rsidP="00783CAE">
      <w:pPr>
        <w:keepLines/>
        <w:numPr>
          <w:ilvl w:val="1"/>
          <w:numId w:val="0"/>
        </w:numPr>
        <w:tabs>
          <w:tab w:val="clear" w:pos="864"/>
          <w:tab w:val="clear" w:pos="1728"/>
        </w:tabs>
        <w:spacing w:before="120" w:after="160" w:line="320" w:lineRule="exact"/>
        <w:jc w:val="left"/>
        <w:rPr>
          <w:rFonts w:eastAsia="Calibri" w:cs="Arial"/>
          <w:iCs/>
          <w:caps/>
          <w:color w:val="003478"/>
          <w:spacing w:val="-2"/>
          <w:kern w:val="28"/>
          <w:sz w:val="28"/>
          <w:szCs w:val="22"/>
          <w:lang w:val="en-GB"/>
        </w:rPr>
      </w:pPr>
      <w:r w:rsidRPr="003B7E3F">
        <w:rPr>
          <w:rFonts w:cs="Arial"/>
          <w:noProof/>
          <w:lang w:val="en-US"/>
        </w:rPr>
        <w:drawing>
          <wp:anchor distT="0" distB="0" distL="114300" distR="114300" simplePos="0" relativeHeight="251658752" behindDoc="0" locked="0" layoutInCell="1" allowOverlap="1" wp14:anchorId="5D4811AF" wp14:editId="30DB5578">
            <wp:simplePos x="0" y="0"/>
            <wp:positionH relativeFrom="column">
              <wp:posOffset>-38100</wp:posOffset>
            </wp:positionH>
            <wp:positionV relativeFrom="paragraph">
              <wp:posOffset>228600</wp:posOffset>
            </wp:positionV>
            <wp:extent cx="1676400" cy="1416050"/>
            <wp:effectExtent l="0" t="0" r="0" b="0"/>
            <wp:wrapThrough wrapText="bothSides">
              <wp:wrapPolygon edited="0">
                <wp:start x="7855" y="0"/>
                <wp:lineTo x="4418" y="872"/>
                <wp:lineTo x="1964" y="2906"/>
                <wp:lineTo x="1227" y="13948"/>
                <wp:lineTo x="0" y="15691"/>
                <wp:lineTo x="0" y="17144"/>
                <wp:lineTo x="982" y="18597"/>
                <wp:lineTo x="491" y="19178"/>
                <wp:lineTo x="736" y="20050"/>
                <wp:lineTo x="1473" y="21213"/>
                <wp:lineTo x="19636" y="21213"/>
                <wp:lineTo x="20618" y="19469"/>
                <wp:lineTo x="20127" y="18597"/>
                <wp:lineTo x="21355" y="16854"/>
                <wp:lineTo x="21355" y="15982"/>
                <wp:lineTo x="20127" y="13948"/>
                <wp:lineTo x="19636" y="3196"/>
                <wp:lineTo x="16691" y="872"/>
                <wp:lineTo x="13255" y="0"/>
                <wp:lineTo x="7855" y="0"/>
              </wp:wrapPolygon>
            </wp:wrapThrough>
            <wp:docPr id="3" name="Picture 3" descr="Shire of Ashburto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re of Ashburton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416050"/>
                    </a:xfrm>
                    <a:prstGeom prst="rect">
                      <a:avLst/>
                    </a:prstGeom>
                    <a:noFill/>
                    <a:ln>
                      <a:noFill/>
                    </a:ln>
                  </pic:spPr>
                </pic:pic>
              </a:graphicData>
            </a:graphic>
          </wp:anchor>
        </w:drawing>
      </w:r>
    </w:p>
    <w:p w:rsidR="00783CAE" w:rsidRPr="00CF6B5F" w:rsidRDefault="00783CAE" w:rsidP="00783CAE">
      <w:pPr>
        <w:keepLines/>
        <w:numPr>
          <w:ilvl w:val="1"/>
          <w:numId w:val="0"/>
        </w:numPr>
        <w:tabs>
          <w:tab w:val="clear" w:pos="864"/>
          <w:tab w:val="clear" w:pos="1728"/>
        </w:tabs>
        <w:spacing w:before="120" w:after="160" w:line="320" w:lineRule="exact"/>
        <w:jc w:val="left"/>
        <w:rPr>
          <w:rFonts w:eastAsia="Calibri" w:cs="Arial"/>
          <w:iCs/>
          <w:caps/>
          <w:color w:val="003478"/>
          <w:spacing w:val="-2"/>
          <w:kern w:val="28"/>
          <w:sz w:val="28"/>
          <w:szCs w:val="22"/>
          <w:lang w:val="en-GB"/>
        </w:rPr>
      </w:pPr>
    </w:p>
    <w:p w:rsidR="00783CAE" w:rsidRPr="00CF6B5F" w:rsidRDefault="00783CAE" w:rsidP="00783CAE">
      <w:pPr>
        <w:keepLines/>
        <w:numPr>
          <w:ilvl w:val="1"/>
          <w:numId w:val="0"/>
        </w:numPr>
        <w:tabs>
          <w:tab w:val="clear" w:pos="864"/>
          <w:tab w:val="clear" w:pos="1728"/>
        </w:tabs>
        <w:spacing w:before="120" w:after="160" w:line="320" w:lineRule="exact"/>
        <w:jc w:val="left"/>
        <w:rPr>
          <w:rFonts w:eastAsia="Calibri" w:cs="Arial"/>
          <w:iCs/>
          <w:caps/>
          <w:color w:val="003478"/>
          <w:spacing w:val="-2"/>
          <w:kern w:val="28"/>
          <w:sz w:val="28"/>
          <w:szCs w:val="22"/>
          <w:lang w:val="en-GB"/>
        </w:rPr>
      </w:pPr>
    </w:p>
    <w:p w:rsidR="00783CAE" w:rsidRPr="003B7E3F" w:rsidRDefault="00783CAE" w:rsidP="00783CAE">
      <w:pPr>
        <w:keepLines/>
        <w:numPr>
          <w:ilvl w:val="1"/>
          <w:numId w:val="0"/>
        </w:numPr>
        <w:tabs>
          <w:tab w:val="clear" w:pos="864"/>
          <w:tab w:val="clear" w:pos="1728"/>
        </w:tabs>
        <w:spacing w:before="120" w:after="160" w:line="320" w:lineRule="exact"/>
        <w:jc w:val="left"/>
        <w:rPr>
          <w:rFonts w:eastAsia="Calibri" w:cs="Arial"/>
          <w:iCs/>
          <w:caps/>
          <w:color w:val="003478"/>
          <w:spacing w:val="-2"/>
          <w:kern w:val="28"/>
          <w:sz w:val="28"/>
          <w:szCs w:val="22"/>
          <w:lang w:val="en-GB"/>
        </w:rPr>
      </w:pPr>
    </w:p>
    <w:p w:rsidR="00783CAE" w:rsidRPr="003B7E3F" w:rsidRDefault="00783CAE" w:rsidP="00783CAE">
      <w:pPr>
        <w:keepLines/>
        <w:numPr>
          <w:ilvl w:val="1"/>
          <w:numId w:val="0"/>
        </w:numPr>
        <w:tabs>
          <w:tab w:val="clear" w:pos="864"/>
          <w:tab w:val="clear" w:pos="1728"/>
        </w:tabs>
        <w:spacing w:before="120" w:after="160" w:line="320" w:lineRule="exact"/>
        <w:jc w:val="left"/>
        <w:rPr>
          <w:rFonts w:eastAsia="Calibri" w:cs="Arial"/>
          <w:iCs/>
          <w:caps/>
          <w:color w:val="003478"/>
          <w:spacing w:val="-2"/>
          <w:kern w:val="28"/>
          <w:sz w:val="28"/>
          <w:szCs w:val="22"/>
          <w:lang w:val="en-GB"/>
        </w:rPr>
      </w:pPr>
    </w:p>
    <w:p w:rsidR="00783CAE" w:rsidRPr="003B7E3F" w:rsidRDefault="00783CAE" w:rsidP="00783CAE">
      <w:pPr>
        <w:keepLines/>
        <w:numPr>
          <w:ilvl w:val="1"/>
          <w:numId w:val="0"/>
        </w:numPr>
        <w:tabs>
          <w:tab w:val="clear" w:pos="864"/>
          <w:tab w:val="clear" w:pos="1728"/>
        </w:tabs>
        <w:spacing w:before="120" w:after="160" w:line="320" w:lineRule="exact"/>
        <w:jc w:val="left"/>
        <w:rPr>
          <w:rFonts w:eastAsia="Calibri" w:cs="Arial"/>
          <w:iCs/>
          <w:caps/>
          <w:color w:val="003478"/>
          <w:spacing w:val="-2"/>
          <w:kern w:val="28"/>
          <w:sz w:val="28"/>
          <w:szCs w:val="22"/>
          <w:lang w:val="en-GB"/>
        </w:rPr>
      </w:pPr>
    </w:p>
    <w:p w:rsidR="00600EBD" w:rsidRPr="003B7E3F" w:rsidRDefault="00600EBD" w:rsidP="00783CAE">
      <w:pPr>
        <w:keepLines/>
        <w:numPr>
          <w:ilvl w:val="1"/>
          <w:numId w:val="0"/>
        </w:numPr>
        <w:tabs>
          <w:tab w:val="clear" w:pos="864"/>
          <w:tab w:val="clear" w:pos="1728"/>
        </w:tabs>
        <w:spacing w:before="120" w:after="160" w:line="320" w:lineRule="exact"/>
        <w:jc w:val="left"/>
        <w:rPr>
          <w:rFonts w:eastAsia="Calibri" w:cs="Arial"/>
          <w:iCs/>
          <w:caps/>
          <w:color w:val="003478"/>
          <w:spacing w:val="-2"/>
          <w:kern w:val="28"/>
          <w:sz w:val="28"/>
          <w:szCs w:val="22"/>
          <w:lang w:val="en-GB"/>
        </w:rPr>
      </w:pPr>
    </w:p>
    <w:p w:rsidR="00783CAE" w:rsidRPr="003B7E3F" w:rsidRDefault="00915D7B" w:rsidP="00783CAE">
      <w:pPr>
        <w:keepLines/>
        <w:numPr>
          <w:ilvl w:val="1"/>
          <w:numId w:val="0"/>
        </w:numPr>
        <w:tabs>
          <w:tab w:val="clear" w:pos="864"/>
          <w:tab w:val="clear" w:pos="1728"/>
        </w:tabs>
        <w:spacing w:before="120" w:after="160" w:line="320" w:lineRule="exact"/>
        <w:jc w:val="left"/>
        <w:rPr>
          <w:rFonts w:eastAsia="Calibri" w:cs="Arial"/>
          <w:iCs/>
          <w:caps/>
          <w:color w:val="003478"/>
          <w:spacing w:val="-2"/>
          <w:kern w:val="28"/>
          <w:sz w:val="28"/>
          <w:szCs w:val="22"/>
          <w:lang w:val="en-GB"/>
        </w:rPr>
      </w:pPr>
      <w:r w:rsidRPr="003B7E3F">
        <w:rPr>
          <w:rFonts w:eastAsia="Calibri" w:cs="Arial"/>
          <w:iCs/>
          <w:caps/>
          <w:color w:val="003478"/>
          <w:spacing w:val="-2"/>
          <w:kern w:val="28"/>
          <w:sz w:val="28"/>
          <w:szCs w:val="22"/>
          <w:lang w:val="en-GB"/>
        </w:rPr>
        <w:t xml:space="preserve">NOTICE OF INTENTION </w:t>
      </w:r>
      <w:r w:rsidR="00783CAE" w:rsidRPr="003B7E3F">
        <w:rPr>
          <w:rFonts w:eastAsia="Calibri" w:cs="Arial"/>
          <w:iCs/>
          <w:caps/>
          <w:color w:val="003478"/>
          <w:spacing w:val="-2"/>
          <w:kern w:val="28"/>
          <w:sz w:val="28"/>
          <w:szCs w:val="22"/>
          <w:lang w:val="en-GB"/>
        </w:rPr>
        <w:t>O</w:t>
      </w:r>
      <w:r w:rsidR="009F1CA6">
        <w:rPr>
          <w:rFonts w:eastAsia="Calibri" w:cs="Arial"/>
          <w:iCs/>
          <w:caps/>
          <w:color w:val="003478"/>
          <w:spacing w:val="-2"/>
          <w:kern w:val="28"/>
          <w:sz w:val="28"/>
          <w:szCs w:val="22"/>
          <w:lang w:val="en-GB"/>
        </w:rPr>
        <w:t>F</w:t>
      </w:r>
      <w:r w:rsidR="007C4855" w:rsidRPr="003B7E3F">
        <w:rPr>
          <w:rFonts w:eastAsia="Calibri" w:cs="Arial"/>
          <w:iCs/>
          <w:caps/>
          <w:color w:val="003478"/>
          <w:spacing w:val="-2"/>
          <w:kern w:val="28"/>
          <w:sz w:val="28"/>
          <w:szCs w:val="22"/>
          <w:lang w:val="en-GB"/>
        </w:rPr>
        <w:t xml:space="preserve"> LEVY DIFFERENTIAL RATES </w:t>
      </w:r>
      <w:r w:rsidR="003A5292">
        <w:rPr>
          <w:rFonts w:eastAsia="Calibri" w:cs="Arial"/>
          <w:iCs/>
          <w:caps/>
          <w:color w:val="003478"/>
          <w:spacing w:val="-2"/>
          <w:kern w:val="28"/>
          <w:sz w:val="28"/>
          <w:szCs w:val="22"/>
          <w:lang w:val="en-GB"/>
        </w:rPr>
        <w:t>201</w:t>
      </w:r>
      <w:r w:rsidR="00CC1A22">
        <w:rPr>
          <w:rFonts w:eastAsia="Calibri" w:cs="Arial"/>
          <w:iCs/>
          <w:caps/>
          <w:color w:val="003478"/>
          <w:spacing w:val="-2"/>
          <w:kern w:val="28"/>
          <w:sz w:val="28"/>
          <w:szCs w:val="22"/>
          <w:lang w:val="en-GB"/>
        </w:rPr>
        <w:t>8</w:t>
      </w:r>
      <w:r w:rsidR="003A5292">
        <w:rPr>
          <w:rFonts w:eastAsia="Calibri" w:cs="Arial"/>
          <w:iCs/>
          <w:caps/>
          <w:color w:val="003478"/>
          <w:spacing w:val="-2"/>
          <w:kern w:val="28"/>
          <w:sz w:val="28"/>
          <w:szCs w:val="22"/>
          <w:lang w:val="en-GB"/>
        </w:rPr>
        <w:t>/1</w:t>
      </w:r>
      <w:r w:rsidR="00CC1A22">
        <w:rPr>
          <w:rFonts w:eastAsia="Calibri" w:cs="Arial"/>
          <w:iCs/>
          <w:caps/>
          <w:color w:val="003478"/>
          <w:spacing w:val="-2"/>
          <w:kern w:val="28"/>
          <w:sz w:val="28"/>
          <w:szCs w:val="22"/>
          <w:lang w:val="en-GB"/>
        </w:rPr>
        <w:t>9</w:t>
      </w:r>
    </w:p>
    <w:p w:rsidR="00783CAE" w:rsidRPr="003B7E3F" w:rsidRDefault="00783CAE" w:rsidP="00783CAE">
      <w:pPr>
        <w:keepLines/>
        <w:numPr>
          <w:ilvl w:val="1"/>
          <w:numId w:val="0"/>
        </w:numPr>
        <w:tabs>
          <w:tab w:val="clear" w:pos="864"/>
          <w:tab w:val="clear" w:pos="1728"/>
        </w:tabs>
        <w:jc w:val="left"/>
        <w:rPr>
          <w:rFonts w:eastAsia="Calibri" w:cs="Arial"/>
          <w:iCs/>
          <w:caps/>
          <w:color w:val="003478"/>
          <w:spacing w:val="-2"/>
          <w:kern w:val="28"/>
          <w:sz w:val="18"/>
          <w:szCs w:val="22"/>
          <w:lang w:val="en-GB"/>
        </w:rPr>
      </w:pPr>
      <w:r w:rsidRPr="003B7E3F">
        <w:rPr>
          <w:rFonts w:eastAsia="Calibri" w:cs="Arial"/>
          <w:iCs/>
          <w:caps/>
          <w:color w:val="003478"/>
          <w:spacing w:val="-2"/>
          <w:kern w:val="28"/>
          <w:sz w:val="18"/>
          <w:szCs w:val="22"/>
          <w:lang w:val="en-GB"/>
        </w:rPr>
        <w:t>Including statement of rating information</w:t>
      </w:r>
    </w:p>
    <w:p w:rsidR="00783CAE" w:rsidRPr="003B7E3F" w:rsidRDefault="00CC1A22" w:rsidP="00783CAE">
      <w:pPr>
        <w:keepLines/>
        <w:numPr>
          <w:ilvl w:val="1"/>
          <w:numId w:val="0"/>
        </w:numPr>
        <w:tabs>
          <w:tab w:val="clear" w:pos="864"/>
          <w:tab w:val="clear" w:pos="1728"/>
        </w:tabs>
        <w:spacing w:before="120" w:after="160" w:line="320" w:lineRule="exact"/>
        <w:jc w:val="left"/>
        <w:rPr>
          <w:rFonts w:eastAsia="Calibri" w:cs="Arial"/>
          <w:iCs/>
          <w:caps/>
          <w:color w:val="003478"/>
          <w:spacing w:val="-2"/>
          <w:kern w:val="28"/>
          <w:sz w:val="28"/>
          <w:szCs w:val="22"/>
          <w:lang w:val="en-GB"/>
        </w:rPr>
      </w:pPr>
      <w:r>
        <w:rPr>
          <w:rFonts w:eastAsia="Calibri" w:cs="Arial"/>
          <w:iCs/>
          <w:caps/>
          <w:color w:val="003478"/>
          <w:spacing w:val="-2"/>
          <w:kern w:val="28"/>
          <w:sz w:val="28"/>
          <w:szCs w:val="22"/>
          <w:lang w:val="en-GB"/>
        </w:rPr>
        <w:t>JUNE 2018</w:t>
      </w:r>
    </w:p>
    <w:p w:rsidR="00184EC0" w:rsidRDefault="00184EC0" w:rsidP="00BF53E5">
      <w:pPr>
        <w:pStyle w:val="Heading3"/>
        <w:tabs>
          <w:tab w:val="left" w:pos="851"/>
        </w:tabs>
        <w:spacing w:after="120" w:line="269" w:lineRule="auto"/>
        <w:rPr>
          <w:rFonts w:ascii="Arial" w:hAnsi="Arial"/>
          <w:bCs w:val="0"/>
          <w:i w:val="0"/>
          <w:spacing w:val="0"/>
          <w:sz w:val="24"/>
          <w:szCs w:val="22"/>
          <w:lang w:eastAsia="en-US"/>
        </w:rPr>
      </w:pPr>
    </w:p>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Default="00684BF9" w:rsidP="00684BF9"/>
    <w:p w:rsidR="00684BF9" w:rsidRPr="00684BF9" w:rsidRDefault="00684BF9" w:rsidP="00684BF9"/>
    <w:p w:rsidR="0010514E" w:rsidRDefault="0010514E" w:rsidP="00EC07B7">
      <w:pPr>
        <w:spacing w:after="120" w:line="269" w:lineRule="auto"/>
        <w:rPr>
          <w:rFonts w:cs="Arial"/>
        </w:rPr>
      </w:pPr>
    </w:p>
    <w:p w:rsidR="00EC07B7" w:rsidRPr="002A6422" w:rsidRDefault="00EC07B7" w:rsidP="00EC07B7">
      <w:pPr>
        <w:spacing w:after="120" w:line="269" w:lineRule="auto"/>
        <w:rPr>
          <w:rFonts w:cs="Arial"/>
        </w:rPr>
      </w:pPr>
      <w:r w:rsidRPr="002A6422">
        <w:rPr>
          <w:rFonts w:cs="Arial"/>
        </w:rPr>
        <w:t>In accordance with section 6.36 of the Local Government Act 1995, the Shire of Ashburton hereby gives notice of its intention to impose the following differential rates and minimum payment.</w:t>
      </w:r>
    </w:p>
    <w:tbl>
      <w:tblPr>
        <w:tblW w:w="9105" w:type="dxa"/>
        <w:jc w:val="center"/>
        <w:tblLayout w:type="fixed"/>
        <w:tblLook w:val="04A0" w:firstRow="1" w:lastRow="0" w:firstColumn="1" w:lastColumn="0" w:noHBand="0" w:noVBand="1"/>
      </w:tblPr>
      <w:tblGrid>
        <w:gridCol w:w="4396"/>
        <w:gridCol w:w="1305"/>
        <w:gridCol w:w="1702"/>
        <w:gridCol w:w="1702"/>
      </w:tblGrid>
      <w:tr w:rsidR="00EC07B7" w:rsidRPr="002A6422" w:rsidTr="004714A1">
        <w:trPr>
          <w:trHeight w:val="300"/>
          <w:jc w:val="center"/>
        </w:trPr>
        <w:tc>
          <w:tcPr>
            <w:tcW w:w="4396" w:type="dxa"/>
            <w:hideMark/>
          </w:tcPr>
          <w:p w:rsidR="00EC07B7" w:rsidRPr="002A6422" w:rsidRDefault="00EC07B7" w:rsidP="004714A1">
            <w:pPr>
              <w:autoSpaceDE w:val="0"/>
              <w:autoSpaceDN w:val="0"/>
              <w:adjustRightInd w:val="0"/>
              <w:rPr>
                <w:rFonts w:cs="Arial"/>
                <w:b/>
                <w:bCs/>
                <w:color w:val="000000"/>
                <w:lang w:val="en-US" w:eastAsia="en-AU"/>
              </w:rPr>
            </w:pPr>
            <w:r w:rsidRPr="002A6422">
              <w:rPr>
                <w:rFonts w:cs="Arial"/>
                <w:b/>
                <w:bCs/>
                <w:color w:val="000000"/>
                <w:lang w:val="en-US" w:eastAsia="en-AU"/>
              </w:rPr>
              <w:t>Rate Code Description</w:t>
            </w:r>
          </w:p>
        </w:tc>
        <w:tc>
          <w:tcPr>
            <w:tcW w:w="1305" w:type="dxa"/>
            <w:hideMark/>
          </w:tcPr>
          <w:p w:rsidR="00EC07B7" w:rsidRPr="002A6422" w:rsidRDefault="00EC07B7" w:rsidP="004714A1">
            <w:pPr>
              <w:autoSpaceDE w:val="0"/>
              <w:autoSpaceDN w:val="0"/>
              <w:adjustRightInd w:val="0"/>
              <w:jc w:val="center"/>
              <w:rPr>
                <w:rFonts w:cs="Arial"/>
                <w:b/>
                <w:color w:val="000000"/>
                <w:lang w:val="en-US" w:eastAsia="en-AU"/>
              </w:rPr>
            </w:pPr>
            <w:r w:rsidRPr="002A6422">
              <w:rPr>
                <w:rFonts w:cs="Arial"/>
                <w:b/>
                <w:color w:val="000000"/>
                <w:lang w:val="en-US" w:eastAsia="en-AU"/>
              </w:rPr>
              <w:t>Rate in the $</w:t>
            </w:r>
          </w:p>
        </w:tc>
        <w:tc>
          <w:tcPr>
            <w:tcW w:w="1702" w:type="dxa"/>
            <w:hideMark/>
          </w:tcPr>
          <w:p w:rsidR="00EC07B7" w:rsidRPr="002A6422" w:rsidRDefault="00EC07B7" w:rsidP="004714A1">
            <w:pPr>
              <w:autoSpaceDE w:val="0"/>
              <w:autoSpaceDN w:val="0"/>
              <w:adjustRightInd w:val="0"/>
              <w:jc w:val="center"/>
              <w:rPr>
                <w:rFonts w:cs="Arial"/>
                <w:b/>
                <w:color w:val="000000"/>
                <w:lang w:val="en-US" w:eastAsia="en-AU"/>
              </w:rPr>
            </w:pPr>
            <w:r w:rsidRPr="002A6422">
              <w:rPr>
                <w:rFonts w:cs="Arial"/>
                <w:b/>
                <w:color w:val="000000"/>
                <w:lang w:val="en-US" w:eastAsia="en-AU"/>
              </w:rPr>
              <w:t>General Minimum Payment</w:t>
            </w:r>
          </w:p>
          <w:p w:rsidR="00EC07B7" w:rsidRPr="002A6422" w:rsidRDefault="00EC07B7" w:rsidP="004714A1">
            <w:pPr>
              <w:autoSpaceDE w:val="0"/>
              <w:autoSpaceDN w:val="0"/>
              <w:adjustRightInd w:val="0"/>
              <w:jc w:val="center"/>
              <w:rPr>
                <w:rFonts w:cs="Arial"/>
                <w:b/>
                <w:color w:val="000000"/>
                <w:lang w:val="en-US" w:eastAsia="en-AU"/>
              </w:rPr>
            </w:pPr>
            <w:r w:rsidRPr="002A6422">
              <w:rPr>
                <w:rFonts w:cs="Arial"/>
                <w:b/>
                <w:color w:val="000000"/>
                <w:lang w:val="en-US" w:eastAsia="en-AU"/>
              </w:rPr>
              <w:t>$</w:t>
            </w:r>
          </w:p>
        </w:tc>
        <w:tc>
          <w:tcPr>
            <w:tcW w:w="1702" w:type="dxa"/>
            <w:hideMark/>
          </w:tcPr>
          <w:p w:rsidR="00EC07B7" w:rsidRPr="002A6422" w:rsidRDefault="00EC07B7" w:rsidP="004714A1">
            <w:pPr>
              <w:autoSpaceDE w:val="0"/>
              <w:autoSpaceDN w:val="0"/>
              <w:adjustRightInd w:val="0"/>
              <w:jc w:val="center"/>
              <w:rPr>
                <w:rFonts w:cs="Arial"/>
                <w:b/>
                <w:color w:val="000000"/>
                <w:lang w:val="en-US" w:eastAsia="en-AU"/>
              </w:rPr>
            </w:pPr>
            <w:r w:rsidRPr="002A6422">
              <w:rPr>
                <w:rFonts w:cs="Arial"/>
                <w:b/>
                <w:color w:val="000000"/>
                <w:lang w:val="en-US" w:eastAsia="en-AU"/>
              </w:rPr>
              <w:t>Lesser* Minimum Payment</w:t>
            </w:r>
          </w:p>
          <w:p w:rsidR="00EC07B7" w:rsidRPr="002A6422" w:rsidRDefault="00EC07B7" w:rsidP="004714A1">
            <w:pPr>
              <w:autoSpaceDE w:val="0"/>
              <w:autoSpaceDN w:val="0"/>
              <w:adjustRightInd w:val="0"/>
              <w:jc w:val="center"/>
              <w:rPr>
                <w:rFonts w:cs="Arial"/>
                <w:b/>
                <w:color w:val="000000"/>
                <w:lang w:val="en-US" w:eastAsia="en-AU"/>
              </w:rPr>
            </w:pPr>
            <w:r w:rsidRPr="002A6422">
              <w:rPr>
                <w:rFonts w:cs="Arial"/>
                <w:b/>
                <w:color w:val="000000"/>
                <w:lang w:val="en-US" w:eastAsia="en-AU"/>
              </w:rPr>
              <w:t>$</w:t>
            </w:r>
          </w:p>
        </w:tc>
      </w:tr>
      <w:tr w:rsidR="00EC07B7" w:rsidRPr="002A6422" w:rsidTr="004714A1">
        <w:trPr>
          <w:trHeight w:val="300"/>
          <w:jc w:val="center"/>
        </w:trPr>
        <w:tc>
          <w:tcPr>
            <w:tcW w:w="4396" w:type="dxa"/>
          </w:tcPr>
          <w:p w:rsidR="00EC07B7" w:rsidRPr="002A6422" w:rsidRDefault="00EC07B7" w:rsidP="004714A1">
            <w:pPr>
              <w:autoSpaceDE w:val="0"/>
              <w:autoSpaceDN w:val="0"/>
              <w:adjustRightInd w:val="0"/>
              <w:rPr>
                <w:rFonts w:cs="Arial"/>
                <w:color w:val="000000"/>
                <w:lang w:val="en-US" w:eastAsia="en-AU"/>
              </w:rPr>
            </w:pPr>
          </w:p>
        </w:tc>
        <w:tc>
          <w:tcPr>
            <w:tcW w:w="1305" w:type="dxa"/>
          </w:tcPr>
          <w:p w:rsidR="00EC07B7" w:rsidRPr="002A6422" w:rsidRDefault="00EC07B7" w:rsidP="004714A1">
            <w:pPr>
              <w:autoSpaceDE w:val="0"/>
              <w:autoSpaceDN w:val="0"/>
              <w:adjustRightInd w:val="0"/>
              <w:rPr>
                <w:rFonts w:cs="Arial"/>
                <w:color w:val="000000"/>
                <w:lang w:val="en-US" w:eastAsia="en-AU"/>
              </w:rPr>
            </w:pPr>
          </w:p>
        </w:tc>
        <w:tc>
          <w:tcPr>
            <w:tcW w:w="1702" w:type="dxa"/>
          </w:tcPr>
          <w:p w:rsidR="00EC07B7" w:rsidRPr="002A6422" w:rsidRDefault="00EC07B7" w:rsidP="004714A1">
            <w:pPr>
              <w:autoSpaceDE w:val="0"/>
              <w:autoSpaceDN w:val="0"/>
              <w:adjustRightInd w:val="0"/>
              <w:rPr>
                <w:rFonts w:cs="Arial"/>
                <w:color w:val="000000"/>
                <w:lang w:val="en-US" w:eastAsia="en-AU"/>
              </w:rPr>
            </w:pPr>
          </w:p>
        </w:tc>
        <w:tc>
          <w:tcPr>
            <w:tcW w:w="1702" w:type="dxa"/>
          </w:tcPr>
          <w:p w:rsidR="00EC07B7" w:rsidRPr="002A6422" w:rsidRDefault="00EC07B7" w:rsidP="004714A1">
            <w:pPr>
              <w:autoSpaceDE w:val="0"/>
              <w:autoSpaceDN w:val="0"/>
              <w:adjustRightInd w:val="0"/>
              <w:rPr>
                <w:rFonts w:cs="Arial"/>
                <w:color w:val="000000"/>
                <w:lang w:val="en-US" w:eastAsia="en-AU"/>
              </w:rPr>
            </w:pPr>
          </w:p>
        </w:tc>
      </w:tr>
      <w:tr w:rsidR="00EC07B7" w:rsidRPr="002A6422" w:rsidTr="004714A1">
        <w:trPr>
          <w:trHeight w:val="300"/>
          <w:jc w:val="center"/>
        </w:trPr>
        <w:tc>
          <w:tcPr>
            <w:tcW w:w="4396" w:type="dxa"/>
            <w:hideMark/>
          </w:tcPr>
          <w:p w:rsidR="00EC07B7" w:rsidRPr="002A6422" w:rsidRDefault="00EC07B7" w:rsidP="004714A1">
            <w:pPr>
              <w:autoSpaceDE w:val="0"/>
              <w:autoSpaceDN w:val="0"/>
              <w:adjustRightInd w:val="0"/>
              <w:rPr>
                <w:rFonts w:cs="Arial"/>
                <w:color w:val="000000"/>
                <w:lang w:val="en-US" w:eastAsia="en-AU"/>
              </w:rPr>
            </w:pPr>
            <w:r w:rsidRPr="002A6422">
              <w:rPr>
                <w:rFonts w:cs="Arial"/>
                <w:color w:val="000000"/>
                <w:lang w:val="en-US" w:eastAsia="en-AU"/>
              </w:rPr>
              <w:t>GRV</w:t>
            </w:r>
            <w:r w:rsidR="00CC1A22">
              <w:rPr>
                <w:rFonts w:cs="Arial"/>
                <w:color w:val="000000"/>
                <w:lang w:val="en-US" w:eastAsia="en-AU"/>
              </w:rPr>
              <w:t>-</w:t>
            </w:r>
            <w:r w:rsidRPr="002A6422">
              <w:rPr>
                <w:rFonts w:cs="Arial"/>
                <w:color w:val="000000"/>
                <w:lang w:val="en-US" w:eastAsia="en-AU"/>
              </w:rPr>
              <w:t>Commercial</w:t>
            </w:r>
            <w:r w:rsidR="00CC1A22">
              <w:rPr>
                <w:rFonts w:cs="Arial"/>
                <w:color w:val="000000"/>
                <w:lang w:val="en-US" w:eastAsia="en-AU"/>
              </w:rPr>
              <w:t xml:space="preserve"> </w:t>
            </w:r>
            <w:r w:rsidRPr="002A6422">
              <w:rPr>
                <w:rFonts w:cs="Arial"/>
                <w:color w:val="000000"/>
                <w:lang w:val="en-US" w:eastAsia="en-AU"/>
              </w:rPr>
              <w:t>/</w:t>
            </w:r>
            <w:r w:rsidR="00CC1A22">
              <w:rPr>
                <w:rFonts w:cs="Arial"/>
                <w:color w:val="000000"/>
                <w:lang w:val="en-US" w:eastAsia="en-AU"/>
              </w:rPr>
              <w:t xml:space="preserve"> </w:t>
            </w:r>
            <w:r w:rsidRPr="002A6422">
              <w:rPr>
                <w:rFonts w:cs="Arial"/>
                <w:color w:val="000000"/>
                <w:lang w:val="en-US" w:eastAsia="en-AU"/>
              </w:rPr>
              <w:t>Industrial</w:t>
            </w:r>
            <w:r w:rsidR="00CC1A22">
              <w:rPr>
                <w:rFonts w:cs="Arial"/>
                <w:color w:val="000000"/>
                <w:lang w:val="en-US" w:eastAsia="en-AU"/>
              </w:rPr>
              <w:t xml:space="preserve"> </w:t>
            </w:r>
            <w:r w:rsidRPr="002A6422">
              <w:rPr>
                <w:rFonts w:cs="Arial"/>
                <w:color w:val="000000"/>
                <w:lang w:val="en-US" w:eastAsia="en-AU"/>
              </w:rPr>
              <w:t>/</w:t>
            </w:r>
            <w:r w:rsidR="00CC1A22">
              <w:rPr>
                <w:rFonts w:cs="Arial"/>
                <w:color w:val="000000"/>
                <w:lang w:val="en-US" w:eastAsia="en-AU"/>
              </w:rPr>
              <w:t xml:space="preserve"> </w:t>
            </w:r>
            <w:r w:rsidRPr="002A6422">
              <w:rPr>
                <w:rFonts w:cs="Arial"/>
                <w:color w:val="000000"/>
                <w:lang w:val="en-US" w:eastAsia="en-AU"/>
              </w:rPr>
              <w:t>Tourism</w:t>
            </w:r>
          </w:p>
        </w:tc>
        <w:tc>
          <w:tcPr>
            <w:tcW w:w="1305" w:type="dxa"/>
          </w:tcPr>
          <w:p w:rsidR="00EC07B7" w:rsidRPr="002A6422" w:rsidRDefault="00EC07B7" w:rsidP="00CC1A22">
            <w:pPr>
              <w:autoSpaceDE w:val="0"/>
              <w:autoSpaceDN w:val="0"/>
              <w:adjustRightInd w:val="0"/>
              <w:jc w:val="right"/>
              <w:rPr>
                <w:rFonts w:cs="Arial"/>
                <w:color w:val="000000"/>
                <w:lang w:val="en-US" w:eastAsia="en-AU"/>
              </w:rPr>
            </w:pPr>
            <w:r w:rsidRPr="002A6422">
              <w:rPr>
                <w:rFonts w:cs="Arial"/>
                <w:color w:val="000000"/>
                <w:lang w:val="en-US" w:eastAsia="en-AU"/>
              </w:rPr>
              <w:t>0.0</w:t>
            </w:r>
            <w:r w:rsidR="00CC1A22">
              <w:rPr>
                <w:rFonts w:cs="Arial"/>
                <w:color w:val="000000"/>
                <w:lang w:val="en-US" w:eastAsia="en-AU"/>
              </w:rPr>
              <w:t>64633</w:t>
            </w:r>
          </w:p>
        </w:tc>
        <w:tc>
          <w:tcPr>
            <w:tcW w:w="1702" w:type="dxa"/>
          </w:tcPr>
          <w:p w:rsidR="00EC07B7" w:rsidRPr="002A6422" w:rsidRDefault="00EC07B7" w:rsidP="00342D2E">
            <w:pPr>
              <w:autoSpaceDE w:val="0"/>
              <w:autoSpaceDN w:val="0"/>
              <w:adjustRightInd w:val="0"/>
              <w:jc w:val="center"/>
              <w:rPr>
                <w:rFonts w:cs="Arial"/>
                <w:color w:val="000000"/>
                <w:lang w:val="en-US" w:eastAsia="en-AU"/>
              </w:rPr>
            </w:pPr>
            <w:r>
              <w:rPr>
                <w:rFonts w:cs="Arial"/>
                <w:color w:val="000000"/>
                <w:lang w:val="en-US" w:eastAsia="en-AU"/>
              </w:rPr>
              <w:t>1</w:t>
            </w:r>
            <w:r w:rsidR="00CC1A22">
              <w:rPr>
                <w:rFonts w:cs="Arial"/>
                <w:color w:val="000000"/>
                <w:lang w:val="en-US" w:eastAsia="en-AU"/>
              </w:rPr>
              <w:t>150.0</w:t>
            </w:r>
            <w:r>
              <w:rPr>
                <w:rFonts w:cs="Arial"/>
                <w:color w:val="000000"/>
                <w:lang w:val="en-US" w:eastAsia="en-AU"/>
              </w:rPr>
              <w:t>0</w:t>
            </w:r>
          </w:p>
        </w:tc>
        <w:tc>
          <w:tcPr>
            <w:tcW w:w="1702" w:type="dxa"/>
          </w:tcPr>
          <w:p w:rsidR="00EC07B7" w:rsidRPr="002A6422" w:rsidRDefault="00EC07B7" w:rsidP="004714A1">
            <w:pPr>
              <w:autoSpaceDE w:val="0"/>
              <w:autoSpaceDN w:val="0"/>
              <w:adjustRightInd w:val="0"/>
              <w:jc w:val="right"/>
              <w:rPr>
                <w:rFonts w:cs="Arial"/>
                <w:color w:val="000000"/>
                <w:lang w:val="en-US" w:eastAsia="en-AU"/>
              </w:rPr>
            </w:pPr>
          </w:p>
        </w:tc>
      </w:tr>
      <w:tr w:rsidR="00EC07B7" w:rsidRPr="002A6422" w:rsidTr="004714A1">
        <w:trPr>
          <w:trHeight w:val="300"/>
          <w:jc w:val="center"/>
        </w:trPr>
        <w:tc>
          <w:tcPr>
            <w:tcW w:w="4396" w:type="dxa"/>
            <w:hideMark/>
          </w:tcPr>
          <w:p w:rsidR="00EC07B7" w:rsidRPr="002A6422" w:rsidRDefault="00CC1A22" w:rsidP="004714A1">
            <w:pPr>
              <w:autoSpaceDE w:val="0"/>
              <w:autoSpaceDN w:val="0"/>
              <w:adjustRightInd w:val="0"/>
              <w:rPr>
                <w:rFonts w:cs="Arial"/>
                <w:color w:val="000000"/>
                <w:lang w:val="en-US" w:eastAsia="en-AU"/>
              </w:rPr>
            </w:pPr>
            <w:r>
              <w:rPr>
                <w:rFonts w:cs="Arial"/>
                <w:color w:val="000000"/>
                <w:lang w:val="en-US" w:eastAsia="en-AU"/>
              </w:rPr>
              <w:t>GRV-</w:t>
            </w:r>
            <w:r w:rsidR="00EC07B7" w:rsidRPr="002A6422">
              <w:rPr>
                <w:rFonts w:cs="Arial"/>
                <w:color w:val="000000"/>
                <w:lang w:val="en-US" w:eastAsia="en-AU"/>
              </w:rPr>
              <w:t>Residential</w:t>
            </w:r>
            <w:r>
              <w:rPr>
                <w:rFonts w:cs="Arial"/>
                <w:color w:val="000000"/>
                <w:lang w:val="en-US" w:eastAsia="en-AU"/>
              </w:rPr>
              <w:t xml:space="preserve"> </w:t>
            </w:r>
            <w:r w:rsidR="00EC07B7" w:rsidRPr="002A6422">
              <w:rPr>
                <w:rFonts w:cs="Arial"/>
                <w:color w:val="000000"/>
                <w:lang w:val="en-US" w:eastAsia="en-AU"/>
              </w:rPr>
              <w:t>/</w:t>
            </w:r>
            <w:r>
              <w:rPr>
                <w:rFonts w:cs="Arial"/>
                <w:color w:val="000000"/>
                <w:lang w:val="en-US" w:eastAsia="en-AU"/>
              </w:rPr>
              <w:t xml:space="preserve"> </w:t>
            </w:r>
            <w:r w:rsidR="00EC07B7" w:rsidRPr="002A6422">
              <w:rPr>
                <w:rFonts w:cs="Arial"/>
                <w:color w:val="000000"/>
                <w:lang w:val="en-US" w:eastAsia="en-AU"/>
              </w:rPr>
              <w:t>Community</w:t>
            </w:r>
          </w:p>
        </w:tc>
        <w:tc>
          <w:tcPr>
            <w:tcW w:w="1305" w:type="dxa"/>
          </w:tcPr>
          <w:p w:rsidR="00EC07B7" w:rsidRPr="002A6422" w:rsidRDefault="00CC1A22" w:rsidP="00CC1A22">
            <w:pPr>
              <w:autoSpaceDE w:val="0"/>
              <w:autoSpaceDN w:val="0"/>
              <w:adjustRightInd w:val="0"/>
              <w:jc w:val="right"/>
              <w:rPr>
                <w:rFonts w:cs="Arial"/>
                <w:color w:val="000000"/>
                <w:lang w:val="en-US" w:eastAsia="en-AU"/>
              </w:rPr>
            </w:pPr>
            <w:r>
              <w:rPr>
                <w:rFonts w:cs="Arial"/>
                <w:color w:val="000000"/>
                <w:lang w:val="en-US" w:eastAsia="en-AU"/>
              </w:rPr>
              <w:t>0.100357</w:t>
            </w:r>
          </w:p>
        </w:tc>
        <w:tc>
          <w:tcPr>
            <w:tcW w:w="1702" w:type="dxa"/>
          </w:tcPr>
          <w:p w:rsidR="00EC07B7" w:rsidRPr="002A6422" w:rsidRDefault="00CC1A22" w:rsidP="00342D2E">
            <w:pPr>
              <w:autoSpaceDE w:val="0"/>
              <w:autoSpaceDN w:val="0"/>
              <w:adjustRightInd w:val="0"/>
              <w:jc w:val="center"/>
              <w:rPr>
                <w:rFonts w:cs="Arial"/>
                <w:color w:val="000000"/>
                <w:lang w:val="en-US" w:eastAsia="en-AU"/>
              </w:rPr>
            </w:pPr>
            <w:r>
              <w:rPr>
                <w:rFonts w:cs="Arial"/>
                <w:color w:val="000000"/>
                <w:lang w:val="en-US" w:eastAsia="en-AU"/>
              </w:rPr>
              <w:t>920</w:t>
            </w:r>
            <w:r w:rsidR="00EC07B7" w:rsidRPr="002A6422">
              <w:rPr>
                <w:rFonts w:cs="Arial"/>
                <w:color w:val="000000"/>
                <w:lang w:val="en-US" w:eastAsia="en-AU"/>
              </w:rPr>
              <w:t>.00</w:t>
            </w:r>
          </w:p>
        </w:tc>
        <w:tc>
          <w:tcPr>
            <w:tcW w:w="1702" w:type="dxa"/>
          </w:tcPr>
          <w:p w:rsidR="00EC07B7" w:rsidRPr="002A6422" w:rsidRDefault="00CC1A22" w:rsidP="00342D2E">
            <w:pPr>
              <w:autoSpaceDE w:val="0"/>
              <w:autoSpaceDN w:val="0"/>
              <w:adjustRightInd w:val="0"/>
              <w:jc w:val="center"/>
              <w:rPr>
                <w:rFonts w:cs="Arial"/>
                <w:color w:val="000000"/>
                <w:lang w:val="en-US" w:eastAsia="en-AU"/>
              </w:rPr>
            </w:pPr>
            <w:r>
              <w:rPr>
                <w:rFonts w:cs="Arial"/>
                <w:color w:val="000000"/>
                <w:lang w:val="en-US" w:eastAsia="en-AU"/>
              </w:rPr>
              <w:t>690.0</w:t>
            </w:r>
            <w:r w:rsidR="00EC07B7" w:rsidRPr="002A6422">
              <w:rPr>
                <w:rFonts w:cs="Arial"/>
                <w:color w:val="000000"/>
                <w:lang w:val="en-US" w:eastAsia="en-AU"/>
              </w:rPr>
              <w:t>0</w:t>
            </w:r>
          </w:p>
        </w:tc>
      </w:tr>
      <w:tr w:rsidR="00EC07B7" w:rsidRPr="002A6422" w:rsidTr="004714A1">
        <w:trPr>
          <w:trHeight w:val="300"/>
          <w:jc w:val="center"/>
        </w:trPr>
        <w:tc>
          <w:tcPr>
            <w:tcW w:w="4396" w:type="dxa"/>
          </w:tcPr>
          <w:p w:rsidR="00EC07B7" w:rsidRPr="002A6422" w:rsidRDefault="00EC07B7" w:rsidP="004714A1">
            <w:pPr>
              <w:autoSpaceDE w:val="0"/>
              <w:autoSpaceDN w:val="0"/>
              <w:adjustRightInd w:val="0"/>
              <w:rPr>
                <w:rFonts w:cs="Arial"/>
                <w:color w:val="000000"/>
                <w:lang w:val="en-US" w:eastAsia="en-AU"/>
              </w:rPr>
            </w:pPr>
          </w:p>
        </w:tc>
        <w:tc>
          <w:tcPr>
            <w:tcW w:w="1305" w:type="dxa"/>
          </w:tcPr>
          <w:p w:rsidR="00EC07B7" w:rsidRPr="002A6422" w:rsidRDefault="00EC07B7" w:rsidP="004714A1">
            <w:pPr>
              <w:autoSpaceDE w:val="0"/>
              <w:autoSpaceDN w:val="0"/>
              <w:adjustRightInd w:val="0"/>
              <w:jc w:val="right"/>
              <w:rPr>
                <w:rFonts w:cs="Arial"/>
                <w:color w:val="000000"/>
                <w:lang w:val="en-US" w:eastAsia="en-AU"/>
              </w:rPr>
            </w:pPr>
          </w:p>
        </w:tc>
        <w:tc>
          <w:tcPr>
            <w:tcW w:w="1702" w:type="dxa"/>
          </w:tcPr>
          <w:p w:rsidR="00EC07B7" w:rsidRPr="002A6422" w:rsidRDefault="00EC07B7" w:rsidP="00342D2E">
            <w:pPr>
              <w:autoSpaceDE w:val="0"/>
              <w:autoSpaceDN w:val="0"/>
              <w:adjustRightInd w:val="0"/>
              <w:jc w:val="center"/>
              <w:rPr>
                <w:rFonts w:cs="Arial"/>
                <w:color w:val="000000"/>
                <w:lang w:val="en-US" w:eastAsia="en-AU"/>
              </w:rPr>
            </w:pPr>
          </w:p>
        </w:tc>
        <w:tc>
          <w:tcPr>
            <w:tcW w:w="1702" w:type="dxa"/>
          </w:tcPr>
          <w:p w:rsidR="00EC07B7" w:rsidRPr="002A6422" w:rsidRDefault="00EC07B7" w:rsidP="004714A1">
            <w:pPr>
              <w:autoSpaceDE w:val="0"/>
              <w:autoSpaceDN w:val="0"/>
              <w:adjustRightInd w:val="0"/>
              <w:jc w:val="right"/>
              <w:rPr>
                <w:rFonts w:cs="Arial"/>
                <w:color w:val="000000"/>
                <w:lang w:val="en-US" w:eastAsia="en-AU"/>
              </w:rPr>
            </w:pPr>
          </w:p>
        </w:tc>
      </w:tr>
      <w:tr w:rsidR="00EC07B7" w:rsidRPr="002A6422" w:rsidTr="004714A1">
        <w:trPr>
          <w:trHeight w:val="300"/>
          <w:jc w:val="center"/>
        </w:trPr>
        <w:tc>
          <w:tcPr>
            <w:tcW w:w="4396" w:type="dxa"/>
          </w:tcPr>
          <w:p w:rsidR="00CC1A22" w:rsidRDefault="00CC1A22" w:rsidP="004714A1">
            <w:pPr>
              <w:autoSpaceDE w:val="0"/>
              <w:autoSpaceDN w:val="0"/>
              <w:adjustRightInd w:val="0"/>
              <w:rPr>
                <w:rFonts w:cs="Arial"/>
                <w:color w:val="000000"/>
                <w:lang w:val="en-US" w:eastAsia="en-AU"/>
              </w:rPr>
            </w:pPr>
            <w:r>
              <w:rPr>
                <w:rFonts w:cs="Arial"/>
                <w:color w:val="000000"/>
                <w:lang w:val="en-US" w:eastAsia="en-AU"/>
              </w:rPr>
              <w:t>UV-Mining / Industrial</w:t>
            </w:r>
          </w:p>
          <w:p w:rsidR="00EC07B7" w:rsidRPr="002A6422" w:rsidRDefault="00666331" w:rsidP="00666331">
            <w:pPr>
              <w:autoSpaceDE w:val="0"/>
              <w:autoSpaceDN w:val="0"/>
              <w:adjustRightInd w:val="0"/>
              <w:rPr>
                <w:rFonts w:cs="Arial"/>
                <w:color w:val="000000"/>
                <w:lang w:val="en-US" w:eastAsia="en-AU"/>
              </w:rPr>
            </w:pPr>
            <w:r>
              <w:rPr>
                <w:rFonts w:cs="Arial"/>
                <w:color w:val="000000"/>
                <w:lang w:val="en-US" w:eastAsia="en-AU"/>
              </w:rPr>
              <w:t>UV Pastoral</w:t>
            </w:r>
          </w:p>
        </w:tc>
        <w:tc>
          <w:tcPr>
            <w:tcW w:w="1305" w:type="dxa"/>
          </w:tcPr>
          <w:p w:rsidR="00CC1A22" w:rsidRDefault="00CC1A22" w:rsidP="004714A1">
            <w:pPr>
              <w:autoSpaceDE w:val="0"/>
              <w:autoSpaceDN w:val="0"/>
              <w:adjustRightInd w:val="0"/>
              <w:jc w:val="right"/>
              <w:rPr>
                <w:rFonts w:cs="Arial"/>
                <w:color w:val="000000"/>
                <w:lang w:val="en-US" w:eastAsia="en-AU"/>
              </w:rPr>
            </w:pPr>
            <w:r>
              <w:rPr>
                <w:rFonts w:cs="Arial"/>
                <w:color w:val="000000"/>
                <w:lang w:val="en-US" w:eastAsia="en-AU"/>
              </w:rPr>
              <w:t>0.369571</w:t>
            </w:r>
          </w:p>
          <w:p w:rsidR="00EC07B7" w:rsidRPr="002A6422" w:rsidRDefault="00CC1A22" w:rsidP="00666331">
            <w:pPr>
              <w:autoSpaceDE w:val="0"/>
              <w:autoSpaceDN w:val="0"/>
              <w:adjustRightInd w:val="0"/>
              <w:jc w:val="right"/>
              <w:rPr>
                <w:rFonts w:cs="Arial"/>
                <w:color w:val="000000"/>
                <w:lang w:val="en-US" w:eastAsia="en-AU"/>
              </w:rPr>
            </w:pPr>
            <w:r>
              <w:rPr>
                <w:rFonts w:cs="Arial"/>
                <w:color w:val="000000"/>
                <w:lang w:val="en-US" w:eastAsia="en-AU"/>
              </w:rPr>
              <w:t>0.060976</w:t>
            </w:r>
            <w:r w:rsidR="00666331">
              <w:rPr>
                <w:rFonts w:cs="Arial"/>
                <w:color w:val="000000"/>
                <w:lang w:val="en-US" w:eastAsia="en-AU"/>
              </w:rPr>
              <w:t xml:space="preserve">            </w:t>
            </w:r>
          </w:p>
        </w:tc>
        <w:tc>
          <w:tcPr>
            <w:tcW w:w="1702" w:type="dxa"/>
          </w:tcPr>
          <w:p w:rsidR="00EC07B7" w:rsidRDefault="00CC1A22" w:rsidP="00342D2E">
            <w:pPr>
              <w:autoSpaceDE w:val="0"/>
              <w:autoSpaceDN w:val="0"/>
              <w:adjustRightInd w:val="0"/>
              <w:jc w:val="center"/>
              <w:rPr>
                <w:rFonts w:cs="Arial"/>
                <w:color w:val="000000"/>
                <w:lang w:val="en-US" w:eastAsia="en-AU"/>
              </w:rPr>
            </w:pPr>
            <w:r>
              <w:rPr>
                <w:rFonts w:cs="Arial"/>
                <w:color w:val="000000"/>
                <w:lang w:val="en-US" w:eastAsia="en-AU"/>
              </w:rPr>
              <w:t>1150.00</w:t>
            </w:r>
          </w:p>
          <w:p w:rsidR="00666331" w:rsidRPr="002A6422" w:rsidRDefault="00666331" w:rsidP="00342D2E">
            <w:pPr>
              <w:autoSpaceDE w:val="0"/>
              <w:autoSpaceDN w:val="0"/>
              <w:adjustRightInd w:val="0"/>
              <w:jc w:val="center"/>
              <w:rPr>
                <w:rFonts w:cs="Arial"/>
                <w:color w:val="000000"/>
                <w:lang w:val="en-US" w:eastAsia="en-AU"/>
              </w:rPr>
            </w:pPr>
            <w:r>
              <w:rPr>
                <w:rFonts w:cs="Arial"/>
                <w:color w:val="000000"/>
                <w:lang w:val="en-US" w:eastAsia="en-AU"/>
              </w:rPr>
              <w:t>1150.00</w:t>
            </w:r>
          </w:p>
        </w:tc>
        <w:tc>
          <w:tcPr>
            <w:tcW w:w="1702" w:type="dxa"/>
          </w:tcPr>
          <w:p w:rsidR="00EC07B7" w:rsidRPr="002A6422" w:rsidRDefault="00EC07B7" w:rsidP="004714A1">
            <w:pPr>
              <w:autoSpaceDE w:val="0"/>
              <w:autoSpaceDN w:val="0"/>
              <w:adjustRightInd w:val="0"/>
              <w:jc w:val="right"/>
              <w:rPr>
                <w:rFonts w:cs="Arial"/>
                <w:color w:val="000000"/>
                <w:lang w:val="en-US" w:eastAsia="en-AU"/>
              </w:rPr>
            </w:pPr>
          </w:p>
        </w:tc>
      </w:tr>
      <w:tr w:rsidR="00EC07B7" w:rsidRPr="002A6422" w:rsidTr="004714A1">
        <w:trPr>
          <w:trHeight w:val="300"/>
          <w:jc w:val="center"/>
        </w:trPr>
        <w:tc>
          <w:tcPr>
            <w:tcW w:w="4396" w:type="dxa"/>
          </w:tcPr>
          <w:p w:rsidR="00CC1A22" w:rsidRPr="002A6422" w:rsidRDefault="00CC1A22" w:rsidP="00CC1A22">
            <w:pPr>
              <w:autoSpaceDE w:val="0"/>
              <w:autoSpaceDN w:val="0"/>
              <w:adjustRightInd w:val="0"/>
              <w:rPr>
                <w:rFonts w:cs="Arial"/>
                <w:color w:val="000000"/>
                <w:lang w:val="en-US" w:eastAsia="en-AU"/>
              </w:rPr>
            </w:pPr>
            <w:r>
              <w:rPr>
                <w:rFonts w:cs="Arial"/>
                <w:color w:val="000000"/>
                <w:lang w:val="en-US" w:eastAsia="en-AU"/>
              </w:rPr>
              <w:t>UV-Tourism</w:t>
            </w:r>
          </w:p>
        </w:tc>
        <w:tc>
          <w:tcPr>
            <w:tcW w:w="1305" w:type="dxa"/>
          </w:tcPr>
          <w:p w:rsidR="00EC07B7" w:rsidRPr="002A6422" w:rsidRDefault="00CC1A22" w:rsidP="004714A1">
            <w:pPr>
              <w:autoSpaceDE w:val="0"/>
              <w:autoSpaceDN w:val="0"/>
              <w:adjustRightInd w:val="0"/>
              <w:jc w:val="right"/>
              <w:rPr>
                <w:rFonts w:cs="Arial"/>
                <w:color w:val="000000"/>
                <w:lang w:val="en-US" w:eastAsia="en-AU"/>
              </w:rPr>
            </w:pPr>
            <w:r>
              <w:rPr>
                <w:rFonts w:cs="Arial"/>
                <w:color w:val="000000"/>
                <w:lang w:val="en-US" w:eastAsia="en-AU"/>
              </w:rPr>
              <w:t>0.165704</w:t>
            </w:r>
          </w:p>
        </w:tc>
        <w:tc>
          <w:tcPr>
            <w:tcW w:w="1702" w:type="dxa"/>
          </w:tcPr>
          <w:p w:rsidR="00EC07B7" w:rsidRPr="002A6422" w:rsidRDefault="00EC07B7" w:rsidP="00342D2E">
            <w:pPr>
              <w:autoSpaceDE w:val="0"/>
              <w:autoSpaceDN w:val="0"/>
              <w:adjustRightInd w:val="0"/>
              <w:jc w:val="center"/>
              <w:rPr>
                <w:rFonts w:cs="Arial"/>
                <w:color w:val="000000"/>
                <w:lang w:val="en-US" w:eastAsia="en-AU"/>
              </w:rPr>
            </w:pPr>
            <w:r>
              <w:rPr>
                <w:rFonts w:cs="Arial"/>
                <w:color w:val="000000"/>
                <w:lang w:val="en-US" w:eastAsia="en-AU"/>
              </w:rPr>
              <w:t>1</w:t>
            </w:r>
            <w:r w:rsidR="00CC1A22">
              <w:rPr>
                <w:rFonts w:cs="Arial"/>
                <w:color w:val="000000"/>
                <w:lang w:val="en-US" w:eastAsia="en-AU"/>
              </w:rPr>
              <w:t>150.0</w:t>
            </w:r>
            <w:r w:rsidRPr="002A6422">
              <w:rPr>
                <w:rFonts w:cs="Arial"/>
                <w:color w:val="000000"/>
                <w:lang w:val="en-US" w:eastAsia="en-AU"/>
              </w:rPr>
              <w:t>0</w:t>
            </w:r>
          </w:p>
        </w:tc>
        <w:tc>
          <w:tcPr>
            <w:tcW w:w="1702" w:type="dxa"/>
          </w:tcPr>
          <w:p w:rsidR="00EC07B7" w:rsidRPr="002A6422" w:rsidRDefault="00EC07B7" w:rsidP="004714A1">
            <w:pPr>
              <w:autoSpaceDE w:val="0"/>
              <w:autoSpaceDN w:val="0"/>
              <w:adjustRightInd w:val="0"/>
              <w:jc w:val="right"/>
              <w:rPr>
                <w:rFonts w:cs="Arial"/>
                <w:color w:val="000000"/>
                <w:lang w:val="en-US" w:eastAsia="en-AU"/>
              </w:rPr>
            </w:pPr>
          </w:p>
        </w:tc>
      </w:tr>
      <w:tr w:rsidR="00EC07B7" w:rsidRPr="002A6422" w:rsidTr="004714A1">
        <w:trPr>
          <w:trHeight w:val="300"/>
          <w:jc w:val="center"/>
        </w:trPr>
        <w:tc>
          <w:tcPr>
            <w:tcW w:w="4396" w:type="dxa"/>
          </w:tcPr>
          <w:p w:rsidR="00EC07B7" w:rsidRPr="002A6422" w:rsidRDefault="00EC07B7" w:rsidP="004714A1">
            <w:pPr>
              <w:autoSpaceDE w:val="0"/>
              <w:autoSpaceDN w:val="0"/>
              <w:adjustRightInd w:val="0"/>
              <w:rPr>
                <w:rFonts w:cs="Arial"/>
                <w:color w:val="000000"/>
                <w:lang w:val="en-US" w:eastAsia="en-AU"/>
              </w:rPr>
            </w:pPr>
          </w:p>
        </w:tc>
        <w:tc>
          <w:tcPr>
            <w:tcW w:w="1305" w:type="dxa"/>
          </w:tcPr>
          <w:p w:rsidR="00EC07B7" w:rsidRPr="002A6422" w:rsidRDefault="00EC07B7" w:rsidP="004714A1">
            <w:pPr>
              <w:autoSpaceDE w:val="0"/>
              <w:autoSpaceDN w:val="0"/>
              <w:adjustRightInd w:val="0"/>
              <w:jc w:val="right"/>
              <w:rPr>
                <w:rFonts w:cs="Arial"/>
                <w:color w:val="000000"/>
                <w:lang w:val="en-US" w:eastAsia="en-AU"/>
              </w:rPr>
            </w:pPr>
          </w:p>
        </w:tc>
        <w:tc>
          <w:tcPr>
            <w:tcW w:w="1702" w:type="dxa"/>
          </w:tcPr>
          <w:p w:rsidR="00EC07B7" w:rsidRPr="002A6422" w:rsidRDefault="00EC07B7" w:rsidP="004714A1">
            <w:pPr>
              <w:autoSpaceDE w:val="0"/>
              <w:autoSpaceDN w:val="0"/>
              <w:adjustRightInd w:val="0"/>
              <w:jc w:val="right"/>
              <w:rPr>
                <w:rFonts w:cs="Arial"/>
                <w:color w:val="000000"/>
                <w:lang w:val="en-US" w:eastAsia="en-AU"/>
              </w:rPr>
            </w:pPr>
          </w:p>
        </w:tc>
        <w:tc>
          <w:tcPr>
            <w:tcW w:w="1702" w:type="dxa"/>
          </w:tcPr>
          <w:p w:rsidR="00EC07B7" w:rsidRPr="002A6422" w:rsidRDefault="00EC07B7" w:rsidP="004714A1">
            <w:pPr>
              <w:autoSpaceDE w:val="0"/>
              <w:autoSpaceDN w:val="0"/>
              <w:adjustRightInd w:val="0"/>
              <w:jc w:val="right"/>
              <w:rPr>
                <w:rFonts w:cs="Arial"/>
                <w:color w:val="000000"/>
                <w:lang w:val="en-US" w:eastAsia="en-AU"/>
              </w:rPr>
            </w:pPr>
          </w:p>
        </w:tc>
      </w:tr>
    </w:tbl>
    <w:p w:rsidR="00EC07B7" w:rsidRPr="002A6422" w:rsidRDefault="00EC07B7" w:rsidP="00EC07B7">
      <w:pPr>
        <w:autoSpaceDE w:val="0"/>
        <w:autoSpaceDN w:val="0"/>
        <w:adjustRightInd w:val="0"/>
        <w:rPr>
          <w:rFonts w:cs="Arial"/>
        </w:rPr>
      </w:pPr>
      <w:r w:rsidRPr="002A6422">
        <w:rPr>
          <w:rFonts w:cs="Arial"/>
        </w:rPr>
        <w:t>The figures shown above are estimates and may change as part of Council deliberations after consideration of any submission.</w:t>
      </w:r>
    </w:p>
    <w:p w:rsidR="00EC07B7" w:rsidRPr="002A6422" w:rsidRDefault="00EC07B7" w:rsidP="00EC07B7">
      <w:pPr>
        <w:autoSpaceDE w:val="0"/>
        <w:autoSpaceDN w:val="0"/>
        <w:adjustRightInd w:val="0"/>
        <w:rPr>
          <w:rFonts w:cs="Arial"/>
        </w:rPr>
      </w:pPr>
    </w:p>
    <w:p w:rsidR="00EC07B7" w:rsidRPr="002A6422" w:rsidRDefault="00EC07B7" w:rsidP="00EC07B7">
      <w:pPr>
        <w:autoSpaceDE w:val="0"/>
        <w:autoSpaceDN w:val="0"/>
        <w:adjustRightInd w:val="0"/>
        <w:rPr>
          <w:rFonts w:cs="Arial"/>
        </w:rPr>
      </w:pPr>
      <w:r w:rsidRPr="002A6422">
        <w:rPr>
          <w:rFonts w:cs="Arial"/>
        </w:rPr>
        <w:t xml:space="preserve">Submissions are invited from electors and ratepayers in respect of the proposed rates, minimum payment and any related matters by 12:00 noon </w:t>
      </w:r>
      <w:r>
        <w:rPr>
          <w:rFonts w:cs="Arial"/>
        </w:rPr>
        <w:t>Friday 1</w:t>
      </w:r>
      <w:r w:rsidR="00CC1A22">
        <w:rPr>
          <w:rFonts w:cs="Arial"/>
        </w:rPr>
        <w:t>3 July 2018</w:t>
      </w:r>
      <w:r w:rsidRPr="002A6422">
        <w:rPr>
          <w:rFonts w:cs="Arial"/>
        </w:rPr>
        <w:t>.</w:t>
      </w:r>
    </w:p>
    <w:p w:rsidR="00EC07B7" w:rsidRPr="002A6422" w:rsidRDefault="00EC07B7" w:rsidP="00EC07B7">
      <w:pPr>
        <w:autoSpaceDE w:val="0"/>
        <w:autoSpaceDN w:val="0"/>
        <w:adjustRightInd w:val="0"/>
        <w:rPr>
          <w:rFonts w:cs="Arial"/>
        </w:rPr>
      </w:pPr>
    </w:p>
    <w:p w:rsidR="00EC07B7" w:rsidRPr="002A6422" w:rsidRDefault="00EC07B7" w:rsidP="00EC07B7">
      <w:pPr>
        <w:autoSpaceDE w:val="0"/>
        <w:autoSpaceDN w:val="0"/>
        <w:adjustRightInd w:val="0"/>
        <w:rPr>
          <w:rFonts w:cs="Arial"/>
        </w:rPr>
      </w:pPr>
      <w:r w:rsidRPr="002A6422">
        <w:rPr>
          <w:rFonts w:cs="Arial"/>
        </w:rPr>
        <w:t xml:space="preserve">Submissions are to be addressed to the Chief Executive Officer, PO Box 567, Tom Price WA 6751 or via email soa@ashburton.wa.gov.au. </w:t>
      </w:r>
    </w:p>
    <w:p w:rsidR="00EC07B7" w:rsidRPr="002A6422" w:rsidRDefault="00EC07B7" w:rsidP="00EC07B7">
      <w:pPr>
        <w:autoSpaceDE w:val="0"/>
        <w:autoSpaceDN w:val="0"/>
        <w:adjustRightInd w:val="0"/>
        <w:rPr>
          <w:rFonts w:cs="Arial"/>
        </w:rPr>
      </w:pPr>
    </w:p>
    <w:p w:rsidR="00EC07B7" w:rsidRPr="002A6422" w:rsidRDefault="00EC07B7" w:rsidP="00EC07B7">
      <w:pPr>
        <w:autoSpaceDE w:val="0"/>
        <w:autoSpaceDN w:val="0"/>
        <w:adjustRightInd w:val="0"/>
        <w:rPr>
          <w:rFonts w:cs="Arial"/>
        </w:rPr>
      </w:pPr>
      <w:r w:rsidRPr="002A6422">
        <w:rPr>
          <w:rFonts w:cs="Arial"/>
        </w:rPr>
        <w:t xml:space="preserve">Electors and ratepayers may view a document describing the objects and reasons for each proposed rate and the minimum payment at the Shire of Ashburton offices and libraries during normal working hours or at </w:t>
      </w:r>
      <w:hyperlink r:id="rId9" w:history="1">
        <w:r w:rsidRPr="002A6422">
          <w:rPr>
            <w:rFonts w:cs="Arial"/>
          </w:rPr>
          <w:t>www.ashburton.com.au</w:t>
        </w:r>
      </w:hyperlink>
      <w:r>
        <w:rPr>
          <w:rFonts w:cs="Arial"/>
        </w:rPr>
        <w:t>/the-shire/rates</w:t>
      </w:r>
      <w:r w:rsidRPr="002A6422">
        <w:rPr>
          <w:rFonts w:cs="Arial"/>
        </w:rPr>
        <w:t xml:space="preserve"> </w:t>
      </w:r>
    </w:p>
    <w:p w:rsidR="00EC07B7" w:rsidRPr="002A6422" w:rsidRDefault="00EC07B7" w:rsidP="00EC07B7">
      <w:pPr>
        <w:autoSpaceDE w:val="0"/>
        <w:autoSpaceDN w:val="0"/>
        <w:adjustRightInd w:val="0"/>
        <w:rPr>
          <w:rFonts w:cs="Arial"/>
        </w:rPr>
      </w:pPr>
    </w:p>
    <w:p w:rsidR="00EC07B7" w:rsidRPr="002A6422" w:rsidRDefault="00CC1A22" w:rsidP="00EC07B7">
      <w:pPr>
        <w:autoSpaceDE w:val="0"/>
        <w:autoSpaceDN w:val="0"/>
        <w:adjustRightInd w:val="0"/>
        <w:rPr>
          <w:rFonts w:cs="Arial"/>
          <w:b/>
        </w:rPr>
      </w:pPr>
      <w:r>
        <w:rPr>
          <w:rFonts w:cs="Arial"/>
          <w:b/>
        </w:rPr>
        <w:t>Rob Paull</w:t>
      </w:r>
      <w:r w:rsidR="00EC07B7" w:rsidRPr="002A6422">
        <w:rPr>
          <w:rFonts w:cs="Arial"/>
          <w:b/>
        </w:rPr>
        <w:t xml:space="preserve"> </w:t>
      </w:r>
    </w:p>
    <w:p w:rsidR="00EC07B7" w:rsidRPr="002A6422" w:rsidRDefault="00EC07B7" w:rsidP="00EC07B7">
      <w:pPr>
        <w:spacing w:after="120" w:line="269" w:lineRule="auto"/>
        <w:rPr>
          <w:rFonts w:cs="Arial"/>
          <w:b/>
        </w:rPr>
      </w:pPr>
      <w:r w:rsidRPr="002A6422">
        <w:rPr>
          <w:rFonts w:cs="Arial"/>
          <w:b/>
        </w:rPr>
        <w:t xml:space="preserve">Chief Executive Officer  </w:t>
      </w:r>
    </w:p>
    <w:p w:rsidR="00D46BC1" w:rsidRDefault="00D46BC1" w:rsidP="00BF53E5">
      <w:pPr>
        <w:pStyle w:val="Heading3"/>
        <w:tabs>
          <w:tab w:val="left" w:pos="851"/>
        </w:tabs>
        <w:spacing w:after="120" w:line="269" w:lineRule="auto"/>
        <w:rPr>
          <w:rFonts w:ascii="Arial" w:hAnsi="Arial"/>
          <w:bCs w:val="0"/>
          <w:i w:val="0"/>
          <w:spacing w:val="0"/>
          <w:sz w:val="24"/>
          <w:szCs w:val="22"/>
          <w:lang w:eastAsia="en-US"/>
        </w:rPr>
      </w:pPr>
    </w:p>
    <w:p w:rsidR="00EC07B7" w:rsidRDefault="00EC07B7" w:rsidP="00EC07B7"/>
    <w:p w:rsidR="00EC07B7" w:rsidRDefault="00EC07B7" w:rsidP="00EC07B7"/>
    <w:p w:rsidR="00EC07B7" w:rsidRDefault="00EC07B7" w:rsidP="00EC07B7"/>
    <w:p w:rsidR="00EC07B7" w:rsidRDefault="00EC07B7" w:rsidP="00EC07B7"/>
    <w:p w:rsidR="00EC07B7" w:rsidRDefault="00EC07B7" w:rsidP="00EC07B7"/>
    <w:p w:rsidR="00EC07B7" w:rsidRDefault="00EC07B7" w:rsidP="00EC07B7"/>
    <w:p w:rsidR="00EC07B7" w:rsidRDefault="00EC07B7" w:rsidP="00EC07B7"/>
    <w:p w:rsidR="00EC07B7" w:rsidRDefault="00EC07B7" w:rsidP="00EC07B7"/>
    <w:p w:rsidR="00EC07B7" w:rsidRDefault="00EC07B7" w:rsidP="00EC07B7"/>
    <w:p w:rsidR="00EC07B7" w:rsidRDefault="00EC07B7" w:rsidP="00EC07B7"/>
    <w:p w:rsidR="00EC07B7" w:rsidRDefault="00EC07B7" w:rsidP="00EC07B7"/>
    <w:p w:rsidR="00EC07B7" w:rsidRDefault="00EC07B7" w:rsidP="00EC07B7"/>
    <w:p w:rsidR="00EC07B7" w:rsidRDefault="00EC07B7" w:rsidP="00EC07B7"/>
    <w:p w:rsidR="00EC07B7" w:rsidRDefault="00EC07B7" w:rsidP="00EC07B7"/>
    <w:p w:rsidR="00EC07B7" w:rsidRDefault="00EC07B7" w:rsidP="00EC07B7"/>
    <w:p w:rsidR="00EC07B7" w:rsidRDefault="00EC07B7" w:rsidP="00EC07B7"/>
    <w:p w:rsidR="00EC07B7" w:rsidRDefault="00EC07B7" w:rsidP="00EC07B7"/>
    <w:p w:rsidR="00EC07B7" w:rsidRDefault="00EC07B7" w:rsidP="00EC07B7"/>
    <w:p w:rsidR="00EC07B7" w:rsidRDefault="00EC07B7" w:rsidP="00EC07B7"/>
    <w:p w:rsidR="00EC07B7" w:rsidRDefault="00EC07B7" w:rsidP="00EC07B7"/>
    <w:p w:rsidR="00EC07B7" w:rsidRPr="00EC07B7" w:rsidRDefault="00EC07B7" w:rsidP="00EC07B7"/>
    <w:p w:rsidR="00EC07B7" w:rsidRDefault="00EC07B7" w:rsidP="00BF53E5">
      <w:pPr>
        <w:pStyle w:val="Heading3"/>
        <w:tabs>
          <w:tab w:val="left" w:pos="851"/>
        </w:tabs>
        <w:spacing w:after="120" w:line="269" w:lineRule="auto"/>
        <w:rPr>
          <w:rFonts w:ascii="Arial" w:hAnsi="Arial"/>
          <w:bCs w:val="0"/>
          <w:i w:val="0"/>
          <w:spacing w:val="0"/>
          <w:sz w:val="24"/>
          <w:szCs w:val="22"/>
          <w:lang w:eastAsia="en-US"/>
        </w:rPr>
      </w:pPr>
    </w:p>
    <w:p w:rsidR="00857890" w:rsidRPr="003B7E3F" w:rsidRDefault="002E3FE6" w:rsidP="00BF53E5">
      <w:pPr>
        <w:pStyle w:val="Heading3"/>
        <w:tabs>
          <w:tab w:val="left" w:pos="851"/>
        </w:tabs>
        <w:spacing w:after="120" w:line="269" w:lineRule="auto"/>
        <w:rPr>
          <w:rFonts w:ascii="Arial" w:hAnsi="Arial"/>
          <w:bCs w:val="0"/>
          <w:i w:val="0"/>
          <w:spacing w:val="0"/>
          <w:sz w:val="24"/>
          <w:szCs w:val="22"/>
          <w:lang w:eastAsia="en-US"/>
        </w:rPr>
      </w:pPr>
      <w:r w:rsidRPr="003B7E3F">
        <w:rPr>
          <w:rFonts w:ascii="Arial" w:hAnsi="Arial"/>
          <w:bCs w:val="0"/>
          <w:i w:val="0"/>
          <w:spacing w:val="0"/>
          <w:sz w:val="24"/>
          <w:szCs w:val="22"/>
          <w:lang w:eastAsia="en-US"/>
        </w:rPr>
        <w:t>S</w:t>
      </w:r>
      <w:r w:rsidR="00BF15E0" w:rsidRPr="003B7E3F">
        <w:rPr>
          <w:rFonts w:ascii="Arial" w:hAnsi="Arial"/>
          <w:bCs w:val="0"/>
          <w:i w:val="0"/>
          <w:spacing w:val="0"/>
          <w:sz w:val="24"/>
          <w:szCs w:val="22"/>
          <w:lang w:eastAsia="en-US"/>
        </w:rPr>
        <w:t>UPPORTING STATEMENT</w:t>
      </w:r>
      <w:r w:rsidR="00AD5F07" w:rsidRPr="003B7E3F">
        <w:rPr>
          <w:rFonts w:ascii="Arial" w:hAnsi="Arial"/>
          <w:bCs w:val="0"/>
          <w:i w:val="0"/>
          <w:spacing w:val="0"/>
          <w:sz w:val="24"/>
          <w:szCs w:val="22"/>
          <w:lang w:eastAsia="en-US"/>
        </w:rPr>
        <w:t xml:space="preserve"> OF RATING INFORMATION </w:t>
      </w:r>
      <w:r w:rsidR="00BF1C6A">
        <w:rPr>
          <w:rFonts w:ascii="Arial" w:hAnsi="Arial"/>
          <w:bCs w:val="0"/>
          <w:i w:val="0"/>
          <w:spacing w:val="0"/>
          <w:sz w:val="24"/>
          <w:szCs w:val="22"/>
          <w:lang w:eastAsia="en-US"/>
        </w:rPr>
        <w:t>2018</w:t>
      </w:r>
      <w:r w:rsidR="00342D2E">
        <w:rPr>
          <w:rFonts w:ascii="Arial" w:hAnsi="Arial"/>
          <w:bCs w:val="0"/>
          <w:i w:val="0"/>
          <w:spacing w:val="0"/>
          <w:sz w:val="24"/>
          <w:szCs w:val="22"/>
          <w:lang w:eastAsia="en-US"/>
        </w:rPr>
        <w:t>/19</w:t>
      </w:r>
      <w:r w:rsidR="00441A3F" w:rsidRPr="003B7E3F">
        <w:rPr>
          <w:rFonts w:ascii="Arial" w:hAnsi="Arial"/>
          <w:bCs w:val="0"/>
          <w:i w:val="0"/>
          <w:spacing w:val="0"/>
          <w:sz w:val="24"/>
          <w:szCs w:val="22"/>
          <w:lang w:eastAsia="en-US"/>
        </w:rPr>
        <w:t xml:space="preserve"> </w:t>
      </w:r>
    </w:p>
    <w:p w:rsidR="006D1587" w:rsidRDefault="006D1587" w:rsidP="00783CAE">
      <w:pPr>
        <w:tabs>
          <w:tab w:val="clear" w:pos="864"/>
          <w:tab w:val="clear" w:pos="1728"/>
        </w:tabs>
        <w:spacing w:line="269" w:lineRule="auto"/>
        <w:rPr>
          <w:rFonts w:cs="Arial"/>
          <w:b/>
          <w:i/>
          <w:color w:val="3A6097"/>
          <w:szCs w:val="22"/>
        </w:rPr>
      </w:pPr>
    </w:p>
    <w:p w:rsidR="00FD6E1E" w:rsidRPr="003B7E3F" w:rsidRDefault="00EA36CC" w:rsidP="00783CAE">
      <w:pPr>
        <w:tabs>
          <w:tab w:val="clear" w:pos="864"/>
          <w:tab w:val="clear" w:pos="1728"/>
        </w:tabs>
        <w:spacing w:line="269" w:lineRule="auto"/>
        <w:rPr>
          <w:rFonts w:cs="Arial"/>
          <w:b/>
          <w:i/>
          <w:color w:val="3A6097"/>
          <w:szCs w:val="22"/>
        </w:rPr>
      </w:pPr>
      <w:r w:rsidRPr="003B7E3F">
        <w:rPr>
          <w:rFonts w:cs="Arial"/>
          <w:b/>
          <w:i/>
          <w:color w:val="3A6097"/>
          <w:szCs w:val="22"/>
        </w:rPr>
        <w:t>(</w:t>
      </w:r>
      <w:r w:rsidR="00441A3F" w:rsidRPr="003B7E3F">
        <w:rPr>
          <w:rFonts w:cs="Arial"/>
          <w:b/>
          <w:i/>
          <w:color w:val="3A6097"/>
          <w:szCs w:val="22"/>
        </w:rPr>
        <w:t xml:space="preserve">Including Objects </w:t>
      </w:r>
      <w:r w:rsidR="00031A8B" w:rsidRPr="003B7E3F">
        <w:rPr>
          <w:rFonts w:cs="Arial"/>
          <w:b/>
          <w:i/>
          <w:color w:val="3A6097"/>
          <w:szCs w:val="22"/>
        </w:rPr>
        <w:t>and Reasons for t</w:t>
      </w:r>
      <w:r w:rsidR="00441A3F" w:rsidRPr="003B7E3F">
        <w:rPr>
          <w:rFonts w:cs="Arial"/>
          <w:b/>
          <w:i/>
          <w:color w:val="3A6097"/>
          <w:szCs w:val="22"/>
        </w:rPr>
        <w:t>he Rating Structure</w:t>
      </w:r>
      <w:r w:rsidRPr="003B7E3F">
        <w:rPr>
          <w:rFonts w:cs="Arial"/>
          <w:b/>
          <w:i/>
          <w:color w:val="3A6097"/>
          <w:szCs w:val="22"/>
        </w:rPr>
        <w:t>)</w:t>
      </w:r>
    </w:p>
    <w:p w:rsidR="009F1796" w:rsidRPr="003B7E3F" w:rsidRDefault="009F1796" w:rsidP="000F1C45">
      <w:pPr>
        <w:tabs>
          <w:tab w:val="clear" w:pos="864"/>
          <w:tab w:val="clear" w:pos="1728"/>
        </w:tabs>
        <w:spacing w:after="120" w:line="269" w:lineRule="auto"/>
        <w:rPr>
          <w:rFonts w:cs="Arial"/>
          <w:szCs w:val="22"/>
        </w:rPr>
      </w:pPr>
      <w:r w:rsidRPr="003B7E3F">
        <w:rPr>
          <w:rFonts w:cs="Arial"/>
          <w:szCs w:val="22"/>
        </w:rPr>
        <w:t xml:space="preserve">This Statement is published by the Shire of </w:t>
      </w:r>
      <w:r w:rsidR="001B766F" w:rsidRPr="003B7E3F">
        <w:rPr>
          <w:rFonts w:cs="Arial"/>
          <w:szCs w:val="22"/>
        </w:rPr>
        <w:t>Ashburton</w:t>
      </w:r>
      <w:r w:rsidRPr="003B7E3F">
        <w:rPr>
          <w:rFonts w:cs="Arial"/>
          <w:szCs w:val="22"/>
        </w:rPr>
        <w:t xml:space="preserve"> in accordance with Section 6.36 of the Local Government Act 1995 to advise the public of its objectives and reasons for implementing </w:t>
      </w:r>
      <w:r w:rsidR="00AD1526" w:rsidRPr="003B7E3F">
        <w:rPr>
          <w:rFonts w:cs="Arial"/>
          <w:szCs w:val="22"/>
        </w:rPr>
        <w:t>d</w:t>
      </w:r>
      <w:r w:rsidRPr="003B7E3F">
        <w:rPr>
          <w:rFonts w:cs="Arial"/>
          <w:szCs w:val="22"/>
        </w:rPr>
        <w:t xml:space="preserve">ifferential </w:t>
      </w:r>
      <w:r w:rsidR="00AD1526" w:rsidRPr="003B7E3F">
        <w:rPr>
          <w:rFonts w:cs="Arial"/>
          <w:szCs w:val="22"/>
        </w:rPr>
        <w:t>r</w:t>
      </w:r>
      <w:r w:rsidRPr="003B7E3F">
        <w:rPr>
          <w:rFonts w:cs="Arial"/>
          <w:szCs w:val="22"/>
        </w:rPr>
        <w:t>ates.</w:t>
      </w:r>
    </w:p>
    <w:p w:rsidR="007033F6" w:rsidRPr="003B7E3F" w:rsidRDefault="009F1796" w:rsidP="000F1C45">
      <w:pPr>
        <w:tabs>
          <w:tab w:val="clear" w:pos="864"/>
          <w:tab w:val="clear" w:pos="1728"/>
        </w:tabs>
        <w:spacing w:after="120" w:line="269" w:lineRule="auto"/>
        <w:rPr>
          <w:rFonts w:cs="Arial"/>
          <w:szCs w:val="22"/>
        </w:rPr>
      </w:pPr>
      <w:r w:rsidRPr="003B7E3F">
        <w:rPr>
          <w:rFonts w:cs="Arial"/>
          <w:szCs w:val="22"/>
        </w:rPr>
        <w:t xml:space="preserve">The purpose of levying of </w:t>
      </w:r>
      <w:r w:rsidR="007033F6" w:rsidRPr="003B7E3F">
        <w:rPr>
          <w:rFonts w:cs="Arial"/>
          <w:szCs w:val="22"/>
        </w:rPr>
        <w:t xml:space="preserve">property </w:t>
      </w:r>
      <w:r w:rsidRPr="003B7E3F">
        <w:rPr>
          <w:rFonts w:cs="Arial"/>
          <w:szCs w:val="22"/>
        </w:rPr>
        <w:t>rates is to meet Council’s budget requirements in each financial year</w:t>
      </w:r>
      <w:r w:rsidR="007033F6" w:rsidRPr="003B7E3F">
        <w:rPr>
          <w:rFonts w:cs="Arial"/>
          <w:szCs w:val="22"/>
        </w:rPr>
        <w:t xml:space="preserve"> and in future periods</w:t>
      </w:r>
      <w:r w:rsidR="00024AC6" w:rsidRPr="003B7E3F">
        <w:rPr>
          <w:rFonts w:cs="Arial"/>
          <w:szCs w:val="22"/>
        </w:rPr>
        <w:t>,</w:t>
      </w:r>
      <w:r w:rsidR="007033F6" w:rsidRPr="003B7E3F">
        <w:rPr>
          <w:rFonts w:cs="Arial"/>
          <w:szCs w:val="22"/>
        </w:rPr>
        <w:t xml:space="preserve"> to </w:t>
      </w:r>
      <w:r w:rsidRPr="003B7E3F">
        <w:rPr>
          <w:rFonts w:cs="Arial"/>
          <w:szCs w:val="22"/>
        </w:rPr>
        <w:t>deliver services, facilities and community infrastructure</w:t>
      </w:r>
      <w:r w:rsidR="007033F6" w:rsidRPr="003B7E3F">
        <w:rPr>
          <w:rFonts w:cs="Arial"/>
          <w:szCs w:val="22"/>
        </w:rPr>
        <w:t xml:space="preserve"> to the district as a whole</w:t>
      </w:r>
      <w:r w:rsidRPr="003B7E3F">
        <w:rPr>
          <w:rFonts w:cs="Arial"/>
          <w:szCs w:val="22"/>
        </w:rPr>
        <w:t xml:space="preserve">. Property valuations provided by the Valuer General </w:t>
      </w:r>
      <w:r w:rsidR="007033F6" w:rsidRPr="003B7E3F">
        <w:rPr>
          <w:rFonts w:cs="Arial"/>
          <w:szCs w:val="22"/>
        </w:rPr>
        <w:t xml:space="preserve">(Landgate) </w:t>
      </w:r>
      <w:r w:rsidRPr="003B7E3F">
        <w:rPr>
          <w:rFonts w:cs="Arial"/>
          <w:szCs w:val="22"/>
        </w:rPr>
        <w:t xml:space="preserve">are used as the basis for the calculation of rates each year. </w:t>
      </w:r>
    </w:p>
    <w:p w:rsidR="009F1796" w:rsidRPr="003B7E3F" w:rsidRDefault="009F1796" w:rsidP="000F1C45">
      <w:pPr>
        <w:tabs>
          <w:tab w:val="clear" w:pos="864"/>
          <w:tab w:val="clear" w:pos="1728"/>
        </w:tabs>
        <w:spacing w:after="120" w:line="269" w:lineRule="auto"/>
        <w:rPr>
          <w:rFonts w:cs="Arial"/>
          <w:szCs w:val="22"/>
        </w:rPr>
      </w:pPr>
      <w:r w:rsidRPr="003B7E3F">
        <w:rPr>
          <w:rFonts w:cs="Arial"/>
          <w:szCs w:val="22"/>
        </w:rPr>
        <w:t xml:space="preserve">Section 6.36 of the Local Government Act provides the ability to differentially rate properties based </w:t>
      </w:r>
      <w:r w:rsidR="000E3E11" w:rsidRPr="003B7E3F">
        <w:rPr>
          <w:rFonts w:cs="Arial"/>
          <w:szCs w:val="22"/>
        </w:rPr>
        <w:t xml:space="preserve">on </w:t>
      </w:r>
      <w:r w:rsidR="00BF53E5" w:rsidRPr="003B7E3F">
        <w:rPr>
          <w:rFonts w:cs="Arial"/>
          <w:szCs w:val="22"/>
        </w:rPr>
        <w:t>certain characteristics</w:t>
      </w:r>
      <w:r w:rsidRPr="003B7E3F">
        <w:rPr>
          <w:rFonts w:cs="Arial"/>
          <w:szCs w:val="22"/>
        </w:rPr>
        <w:t>. The application of differential rating maintains equity in the rating of properties across the Shire, enabling the Council to provide facilities, services and infrastructure to the entire community and visitors to the area.</w:t>
      </w:r>
    </w:p>
    <w:p w:rsidR="0078203A" w:rsidRPr="003B7E3F" w:rsidRDefault="00EA36CC" w:rsidP="00783CAE">
      <w:pPr>
        <w:tabs>
          <w:tab w:val="clear" w:pos="864"/>
          <w:tab w:val="clear" w:pos="1728"/>
        </w:tabs>
        <w:spacing w:line="269" w:lineRule="auto"/>
        <w:rPr>
          <w:rFonts w:cs="Arial"/>
          <w:b/>
          <w:i/>
          <w:color w:val="3A6097"/>
          <w:szCs w:val="22"/>
        </w:rPr>
      </w:pPr>
      <w:r w:rsidRPr="003B7E3F">
        <w:rPr>
          <w:rFonts w:cs="Arial"/>
          <w:b/>
          <w:i/>
          <w:color w:val="3A6097"/>
          <w:szCs w:val="22"/>
        </w:rPr>
        <w:t>Powers to Rate Property</w:t>
      </w:r>
      <w:r w:rsidR="00730B9B" w:rsidRPr="003B7E3F">
        <w:rPr>
          <w:rFonts w:cs="Arial"/>
          <w:b/>
          <w:i/>
          <w:color w:val="3A6097"/>
          <w:szCs w:val="22"/>
        </w:rPr>
        <w:t xml:space="preserve"> </w:t>
      </w:r>
    </w:p>
    <w:p w:rsidR="00EA36CC" w:rsidRPr="003B7E3F" w:rsidRDefault="00EA36CC" w:rsidP="00EA36CC">
      <w:pPr>
        <w:spacing w:after="120" w:line="269" w:lineRule="auto"/>
        <w:rPr>
          <w:rFonts w:cs="Arial"/>
          <w:szCs w:val="22"/>
        </w:rPr>
      </w:pPr>
      <w:r w:rsidRPr="003B7E3F">
        <w:rPr>
          <w:rFonts w:cs="Arial"/>
          <w:szCs w:val="22"/>
        </w:rPr>
        <w:t xml:space="preserve">There are two property valuation methods available under Section 6.28 of the Act, Gross Rental Value (GRV) and Unimproved Value (UV). </w:t>
      </w:r>
    </w:p>
    <w:p w:rsidR="00EA36CC" w:rsidRPr="003B7E3F" w:rsidRDefault="00EA36CC" w:rsidP="00EA36CC">
      <w:pPr>
        <w:spacing w:after="120" w:line="269" w:lineRule="auto"/>
        <w:rPr>
          <w:rFonts w:cs="Arial"/>
          <w:szCs w:val="22"/>
        </w:rPr>
      </w:pPr>
      <w:r w:rsidRPr="003B7E3F">
        <w:rPr>
          <w:rFonts w:cs="Arial"/>
          <w:szCs w:val="22"/>
        </w:rPr>
        <w:t>GRV is ‘the gross annual rental that the land might reasonably be expected to realise if let on a tenancy from year to year upon condition that the landlord is liable for all rates, taxes and other charges thereon and the insurance and other outgoings necessary to maintain the value of the land’.</w:t>
      </w:r>
      <w:r w:rsidRPr="003B7E3F">
        <w:rPr>
          <w:rFonts w:cs="Arial"/>
          <w:vertAlign w:val="superscript"/>
        </w:rPr>
        <w:footnoteReference w:id="1"/>
      </w:r>
      <w:r w:rsidRPr="003B7E3F">
        <w:rPr>
          <w:rFonts w:cs="Arial"/>
          <w:szCs w:val="22"/>
        </w:rPr>
        <w:t xml:space="preserve"> </w:t>
      </w:r>
    </w:p>
    <w:p w:rsidR="00EA36CC" w:rsidRPr="003B7E3F" w:rsidRDefault="00EA36CC" w:rsidP="00EA36CC">
      <w:pPr>
        <w:spacing w:after="120" w:line="269" w:lineRule="auto"/>
        <w:rPr>
          <w:rFonts w:cs="Arial"/>
          <w:szCs w:val="22"/>
          <w:vertAlign w:val="superscript"/>
        </w:rPr>
      </w:pPr>
      <w:r w:rsidRPr="003B7E3F">
        <w:rPr>
          <w:rFonts w:cs="Arial"/>
          <w:szCs w:val="22"/>
        </w:rPr>
        <w:t>UV land is ‘valued as if it has had no improvements (as though) it remains in its original, natural state, any land degradation is taken into account’.</w:t>
      </w:r>
      <w:r w:rsidRPr="003B7E3F">
        <w:rPr>
          <w:rFonts w:cs="Arial"/>
          <w:szCs w:val="22"/>
          <w:vertAlign w:val="superscript"/>
        </w:rPr>
        <w:t>1</w:t>
      </w:r>
    </w:p>
    <w:p w:rsidR="00EA36CC" w:rsidRPr="003B7E3F" w:rsidRDefault="00EA36CC" w:rsidP="00EA36CC">
      <w:pPr>
        <w:spacing w:after="120" w:line="269" w:lineRule="auto"/>
        <w:rPr>
          <w:rFonts w:cs="Arial"/>
          <w:szCs w:val="22"/>
        </w:rPr>
      </w:pPr>
      <w:r w:rsidRPr="003B7E3F">
        <w:rPr>
          <w:rFonts w:cs="Arial"/>
          <w:szCs w:val="22"/>
        </w:rPr>
        <w:t xml:space="preserve">As a default, a local government sets a single general rate in the dollar for each valuation type (GRV and UV). This is </w:t>
      </w:r>
      <w:r w:rsidR="00BF53E5" w:rsidRPr="003B7E3F">
        <w:rPr>
          <w:rFonts w:cs="Arial"/>
          <w:szCs w:val="22"/>
        </w:rPr>
        <w:t xml:space="preserve">termed </w:t>
      </w:r>
      <w:r w:rsidRPr="003B7E3F">
        <w:rPr>
          <w:rFonts w:cs="Arial"/>
          <w:szCs w:val="22"/>
        </w:rPr>
        <w:t>a uniform general rate in the valuation dollar and applied to all properties within a valuation type regardless of their land use.</w:t>
      </w:r>
    </w:p>
    <w:p w:rsidR="00EA36CC" w:rsidRPr="003B7E3F" w:rsidRDefault="00EA36CC" w:rsidP="00EA36CC">
      <w:pPr>
        <w:spacing w:after="120" w:line="269" w:lineRule="auto"/>
        <w:rPr>
          <w:rFonts w:cs="Arial"/>
          <w:szCs w:val="22"/>
        </w:rPr>
      </w:pPr>
      <w:r w:rsidRPr="003B7E3F">
        <w:rPr>
          <w:rFonts w:cs="Arial"/>
          <w:szCs w:val="22"/>
        </w:rPr>
        <w:t xml:space="preserve">Rather than adopting </w:t>
      </w:r>
      <w:r w:rsidR="000E3E11" w:rsidRPr="003B7E3F">
        <w:rPr>
          <w:rFonts w:cs="Arial"/>
          <w:szCs w:val="22"/>
        </w:rPr>
        <w:t xml:space="preserve">a </w:t>
      </w:r>
      <w:r w:rsidRPr="003B7E3F">
        <w:rPr>
          <w:rFonts w:cs="Arial"/>
          <w:szCs w:val="22"/>
        </w:rPr>
        <w:t xml:space="preserve">single uniform general rate, a local government may apply different rates in the dollar within either valuation category (GRV or UV). A differential rate can be applied using the following characteristics, or combination thereof: </w:t>
      </w:r>
    </w:p>
    <w:p w:rsidR="00EA36CC" w:rsidRPr="003B7E3F" w:rsidRDefault="00EA36CC" w:rsidP="00EA36CC">
      <w:pPr>
        <w:numPr>
          <w:ilvl w:val="0"/>
          <w:numId w:val="27"/>
        </w:numPr>
        <w:tabs>
          <w:tab w:val="clear" w:pos="864"/>
          <w:tab w:val="clear" w:pos="1728"/>
        </w:tabs>
        <w:spacing w:after="120" w:line="269" w:lineRule="auto"/>
        <w:ind w:left="709"/>
        <w:rPr>
          <w:rFonts w:cs="Arial"/>
          <w:szCs w:val="22"/>
        </w:rPr>
      </w:pPr>
      <w:r w:rsidRPr="003B7E3F">
        <w:rPr>
          <w:rFonts w:cs="Arial"/>
          <w:szCs w:val="22"/>
        </w:rPr>
        <w:t>The zoning of the land;</w:t>
      </w:r>
    </w:p>
    <w:p w:rsidR="00EA36CC" w:rsidRPr="003B7E3F" w:rsidRDefault="00EA36CC" w:rsidP="00EA36CC">
      <w:pPr>
        <w:numPr>
          <w:ilvl w:val="0"/>
          <w:numId w:val="27"/>
        </w:numPr>
        <w:tabs>
          <w:tab w:val="clear" w:pos="864"/>
          <w:tab w:val="clear" w:pos="1728"/>
        </w:tabs>
        <w:spacing w:after="120" w:line="269" w:lineRule="auto"/>
        <w:ind w:left="709"/>
        <w:rPr>
          <w:rFonts w:cs="Arial"/>
          <w:szCs w:val="22"/>
        </w:rPr>
      </w:pPr>
      <w:r w:rsidRPr="003B7E3F">
        <w:rPr>
          <w:rFonts w:cs="Arial"/>
          <w:szCs w:val="22"/>
        </w:rPr>
        <w:t>The predominant use (as determined by the local government);</w:t>
      </w:r>
    </w:p>
    <w:p w:rsidR="00EA36CC" w:rsidRPr="003B7E3F" w:rsidRDefault="00EA36CC" w:rsidP="00EA36CC">
      <w:pPr>
        <w:numPr>
          <w:ilvl w:val="0"/>
          <w:numId w:val="27"/>
        </w:numPr>
        <w:tabs>
          <w:tab w:val="clear" w:pos="864"/>
          <w:tab w:val="clear" w:pos="1728"/>
        </w:tabs>
        <w:spacing w:after="120" w:line="269" w:lineRule="auto"/>
        <w:ind w:left="709"/>
        <w:rPr>
          <w:rFonts w:cs="Arial"/>
          <w:szCs w:val="22"/>
        </w:rPr>
      </w:pPr>
      <w:r w:rsidRPr="003B7E3F">
        <w:rPr>
          <w:rFonts w:cs="Arial"/>
          <w:szCs w:val="22"/>
        </w:rPr>
        <w:t>I</w:t>
      </w:r>
      <w:r w:rsidR="00FA473D" w:rsidRPr="003B7E3F">
        <w:rPr>
          <w:rFonts w:cs="Arial"/>
          <w:szCs w:val="22"/>
        </w:rPr>
        <w:t>f the land is vacant or not.</w:t>
      </w:r>
      <w:r w:rsidRPr="003B7E3F">
        <w:rPr>
          <w:rFonts w:cs="Arial"/>
          <w:szCs w:val="22"/>
        </w:rPr>
        <w:t xml:space="preserve"> </w:t>
      </w:r>
    </w:p>
    <w:p w:rsidR="00EA36CC" w:rsidRPr="003B7E3F" w:rsidRDefault="00EA36CC" w:rsidP="00EA36CC">
      <w:pPr>
        <w:spacing w:after="120" w:line="269" w:lineRule="auto"/>
        <w:rPr>
          <w:rFonts w:cs="Arial"/>
          <w:szCs w:val="22"/>
        </w:rPr>
      </w:pPr>
      <w:r w:rsidRPr="003B7E3F">
        <w:rPr>
          <w:rFonts w:cs="Arial"/>
          <w:szCs w:val="22"/>
        </w:rPr>
        <w:t xml:space="preserve">Location can only be used as a characteristic in setting a differential rate in very limited </w:t>
      </w:r>
      <w:r w:rsidRPr="004F0846">
        <w:rPr>
          <w:rFonts w:cs="Arial"/>
          <w:szCs w:val="22"/>
        </w:rPr>
        <w:t>circumstance</w:t>
      </w:r>
      <w:r w:rsidR="00164A08" w:rsidRPr="004F0846">
        <w:rPr>
          <w:rFonts w:cs="Arial"/>
          <w:szCs w:val="22"/>
        </w:rPr>
        <w:t>s</w:t>
      </w:r>
      <w:r w:rsidR="004F0846" w:rsidRPr="004F0846">
        <w:rPr>
          <w:rFonts w:cs="Arial"/>
          <w:szCs w:val="22"/>
        </w:rPr>
        <w:t xml:space="preserve"> (namely a </w:t>
      </w:r>
      <w:r w:rsidR="00D75820" w:rsidRPr="004F0846">
        <w:rPr>
          <w:rFonts w:cs="Arial"/>
          <w:szCs w:val="22"/>
        </w:rPr>
        <w:t>lesser</w:t>
      </w:r>
      <w:r w:rsidR="004F0846" w:rsidRPr="004F0846">
        <w:rPr>
          <w:rFonts w:cs="Arial"/>
          <w:szCs w:val="22"/>
        </w:rPr>
        <w:t xml:space="preserve"> minimum rate)</w:t>
      </w:r>
      <w:r w:rsidRPr="004F0846">
        <w:rPr>
          <w:rFonts w:cs="Arial"/>
          <w:szCs w:val="22"/>
        </w:rPr>
        <w:t>. Unfortunately</w:t>
      </w:r>
      <w:r w:rsidRPr="003B7E3F">
        <w:rPr>
          <w:rFonts w:cs="Arial"/>
          <w:szCs w:val="22"/>
        </w:rPr>
        <w:t xml:space="preserve">, </w:t>
      </w:r>
      <w:r w:rsidR="000E4412" w:rsidRPr="003B7E3F">
        <w:rPr>
          <w:rFonts w:cs="Arial"/>
          <w:szCs w:val="22"/>
        </w:rPr>
        <w:t xml:space="preserve">in Ashburton with its geography, this </w:t>
      </w:r>
      <w:r w:rsidRPr="003B7E3F">
        <w:rPr>
          <w:rFonts w:cs="Arial"/>
          <w:szCs w:val="22"/>
        </w:rPr>
        <w:t xml:space="preserve">can </w:t>
      </w:r>
      <w:r w:rsidR="000E4412" w:rsidRPr="003B7E3F">
        <w:rPr>
          <w:rFonts w:cs="Arial"/>
          <w:szCs w:val="22"/>
        </w:rPr>
        <w:t xml:space="preserve">present some challenges when properties with the same land use </w:t>
      </w:r>
      <w:r w:rsidR="00BF53E5" w:rsidRPr="003B7E3F">
        <w:rPr>
          <w:rFonts w:cs="Arial"/>
          <w:szCs w:val="22"/>
        </w:rPr>
        <w:t xml:space="preserve">or zoning </w:t>
      </w:r>
      <w:r w:rsidR="000E4412" w:rsidRPr="003B7E3F">
        <w:rPr>
          <w:rFonts w:cs="Arial"/>
          <w:szCs w:val="22"/>
        </w:rPr>
        <w:t>and as a consequence the same rate in the valuation dollar</w:t>
      </w:r>
      <w:r w:rsidR="00BF53E5" w:rsidRPr="003B7E3F">
        <w:rPr>
          <w:rFonts w:cs="Arial"/>
          <w:szCs w:val="22"/>
        </w:rPr>
        <w:t>,</w:t>
      </w:r>
      <w:r w:rsidR="000E4412" w:rsidRPr="003B7E3F">
        <w:rPr>
          <w:rFonts w:cs="Arial"/>
          <w:szCs w:val="22"/>
        </w:rPr>
        <w:t xml:space="preserve"> may have vastly different </w:t>
      </w:r>
      <w:r w:rsidR="00BF53E5" w:rsidRPr="003B7E3F">
        <w:rPr>
          <w:rFonts w:cs="Arial"/>
          <w:szCs w:val="22"/>
        </w:rPr>
        <w:t xml:space="preserve">levels of </w:t>
      </w:r>
      <w:r w:rsidR="000E4412" w:rsidRPr="003B7E3F">
        <w:rPr>
          <w:rFonts w:cs="Arial"/>
          <w:szCs w:val="22"/>
        </w:rPr>
        <w:t xml:space="preserve">access to services.    </w:t>
      </w:r>
      <w:r w:rsidRPr="003B7E3F">
        <w:rPr>
          <w:rFonts w:cs="Arial"/>
          <w:szCs w:val="22"/>
        </w:rPr>
        <w:t xml:space="preserve">  </w:t>
      </w:r>
    </w:p>
    <w:p w:rsidR="003D4DC6" w:rsidRPr="003B7E3F" w:rsidRDefault="003D4DC6">
      <w:pPr>
        <w:tabs>
          <w:tab w:val="clear" w:pos="864"/>
          <w:tab w:val="clear" w:pos="1728"/>
        </w:tabs>
        <w:jc w:val="left"/>
        <w:rPr>
          <w:rFonts w:cs="Arial"/>
          <w:szCs w:val="22"/>
        </w:rPr>
      </w:pPr>
      <w:r w:rsidRPr="003B7E3F">
        <w:rPr>
          <w:rFonts w:cs="Arial"/>
          <w:szCs w:val="22"/>
        </w:rPr>
        <w:br w:type="page"/>
      </w:r>
    </w:p>
    <w:p w:rsidR="00A25E9E" w:rsidRDefault="00A25E9E" w:rsidP="00BF53E5">
      <w:pPr>
        <w:pStyle w:val="Heading3"/>
        <w:tabs>
          <w:tab w:val="left" w:pos="851"/>
        </w:tabs>
        <w:spacing w:after="120" w:line="269" w:lineRule="auto"/>
        <w:rPr>
          <w:rFonts w:ascii="Arial" w:hAnsi="Arial"/>
          <w:bCs w:val="0"/>
          <w:i w:val="0"/>
          <w:spacing w:val="0"/>
          <w:sz w:val="24"/>
          <w:szCs w:val="22"/>
          <w:lang w:eastAsia="en-US"/>
        </w:rPr>
      </w:pPr>
    </w:p>
    <w:p w:rsidR="006E203E" w:rsidRPr="006E203E" w:rsidRDefault="006E203E" w:rsidP="006E203E"/>
    <w:p w:rsidR="00BF53E5" w:rsidRPr="003B7E3F" w:rsidRDefault="00BF53E5" w:rsidP="00BF53E5">
      <w:pPr>
        <w:pStyle w:val="Heading3"/>
        <w:tabs>
          <w:tab w:val="left" w:pos="851"/>
        </w:tabs>
        <w:spacing w:after="120" w:line="269" w:lineRule="auto"/>
        <w:rPr>
          <w:rFonts w:ascii="Arial" w:hAnsi="Arial"/>
          <w:bCs w:val="0"/>
          <w:i w:val="0"/>
          <w:spacing w:val="0"/>
          <w:sz w:val="24"/>
          <w:szCs w:val="22"/>
          <w:lang w:eastAsia="en-US"/>
        </w:rPr>
      </w:pPr>
      <w:r w:rsidRPr="003B7E3F">
        <w:rPr>
          <w:rFonts w:ascii="Arial" w:hAnsi="Arial"/>
          <w:bCs w:val="0"/>
          <w:i w:val="0"/>
          <w:spacing w:val="0"/>
          <w:sz w:val="24"/>
          <w:szCs w:val="22"/>
          <w:lang w:eastAsia="en-US"/>
        </w:rPr>
        <w:t>SUPPORTING STAT</w:t>
      </w:r>
      <w:r w:rsidR="003B7E3F" w:rsidRPr="003B7E3F">
        <w:rPr>
          <w:rFonts w:ascii="Arial" w:hAnsi="Arial"/>
          <w:bCs w:val="0"/>
          <w:i w:val="0"/>
          <w:spacing w:val="0"/>
          <w:sz w:val="24"/>
          <w:szCs w:val="22"/>
          <w:lang w:eastAsia="en-US"/>
        </w:rPr>
        <w:t xml:space="preserve">EMENT OF RATING INFORMATION </w:t>
      </w:r>
      <w:r w:rsidR="00BF1C6A">
        <w:rPr>
          <w:rFonts w:ascii="Arial" w:hAnsi="Arial"/>
          <w:bCs w:val="0"/>
          <w:i w:val="0"/>
          <w:spacing w:val="0"/>
          <w:sz w:val="24"/>
          <w:szCs w:val="22"/>
          <w:lang w:eastAsia="en-US"/>
        </w:rPr>
        <w:t>2018</w:t>
      </w:r>
      <w:r w:rsidR="00342D2E">
        <w:rPr>
          <w:rFonts w:ascii="Arial" w:hAnsi="Arial"/>
          <w:bCs w:val="0"/>
          <w:i w:val="0"/>
          <w:spacing w:val="0"/>
          <w:sz w:val="24"/>
          <w:szCs w:val="22"/>
          <w:lang w:eastAsia="en-US"/>
        </w:rPr>
        <w:t>19</w:t>
      </w:r>
      <w:r w:rsidRPr="003B7E3F">
        <w:rPr>
          <w:rFonts w:ascii="Arial" w:hAnsi="Arial"/>
          <w:bCs w:val="0"/>
          <w:i w:val="0"/>
          <w:spacing w:val="0"/>
          <w:sz w:val="24"/>
          <w:szCs w:val="22"/>
          <w:lang w:eastAsia="en-US"/>
        </w:rPr>
        <w:t xml:space="preserve"> (Continued)</w:t>
      </w:r>
    </w:p>
    <w:p w:rsidR="00C03C7B" w:rsidRDefault="00C03C7B" w:rsidP="00783CAE">
      <w:pPr>
        <w:tabs>
          <w:tab w:val="clear" w:pos="864"/>
          <w:tab w:val="clear" w:pos="1728"/>
        </w:tabs>
        <w:spacing w:line="269" w:lineRule="auto"/>
        <w:rPr>
          <w:rFonts w:cs="Arial"/>
          <w:b/>
          <w:i/>
          <w:color w:val="3A6097"/>
          <w:szCs w:val="22"/>
        </w:rPr>
      </w:pPr>
    </w:p>
    <w:p w:rsidR="006D1587" w:rsidRPr="003B7E3F" w:rsidRDefault="006D1587" w:rsidP="00783CAE">
      <w:pPr>
        <w:tabs>
          <w:tab w:val="clear" w:pos="864"/>
          <w:tab w:val="clear" w:pos="1728"/>
        </w:tabs>
        <w:spacing w:line="269" w:lineRule="auto"/>
        <w:rPr>
          <w:rFonts w:cs="Arial"/>
          <w:b/>
          <w:i/>
          <w:color w:val="3A6097"/>
          <w:szCs w:val="22"/>
        </w:rPr>
      </w:pPr>
      <w:r>
        <w:rPr>
          <w:rFonts w:cs="Arial"/>
          <w:b/>
          <w:i/>
          <w:color w:val="3A6097"/>
          <w:szCs w:val="22"/>
        </w:rPr>
        <w:t>Powers to Rate Property (continued)</w:t>
      </w:r>
    </w:p>
    <w:p w:rsidR="003D4DC6" w:rsidRPr="003B7E3F" w:rsidRDefault="003D4DC6" w:rsidP="003D4DC6">
      <w:pPr>
        <w:tabs>
          <w:tab w:val="clear" w:pos="864"/>
          <w:tab w:val="clear" w:pos="1728"/>
        </w:tabs>
        <w:spacing w:after="120" w:line="269" w:lineRule="auto"/>
        <w:rPr>
          <w:rFonts w:cs="Arial"/>
          <w:szCs w:val="22"/>
        </w:rPr>
      </w:pPr>
      <w:r w:rsidRPr="003B7E3F">
        <w:rPr>
          <w:rFonts w:cs="Arial"/>
          <w:szCs w:val="22"/>
        </w:rPr>
        <w:t xml:space="preserve">The Local Government Act provides for rural use properties used for mining, exploration or prospecting purposes are assigned an Unimproved Value </w:t>
      </w:r>
      <w:r w:rsidR="00BF53E5" w:rsidRPr="003B7E3F">
        <w:rPr>
          <w:rFonts w:cs="Arial"/>
          <w:szCs w:val="22"/>
        </w:rPr>
        <w:t xml:space="preserve">as </w:t>
      </w:r>
      <w:r w:rsidRPr="003B7E3F">
        <w:rPr>
          <w:rFonts w:cs="Arial"/>
          <w:szCs w:val="22"/>
        </w:rPr>
        <w:t xml:space="preserve">supplied by the Valuer General. It refers to all land for which a mining tenement has been issued by the Department of Mines and Petroleum (DMP), and valued as such by the Valuer General's Office. </w:t>
      </w:r>
    </w:p>
    <w:p w:rsidR="003D4DC6" w:rsidRPr="003B7E3F" w:rsidRDefault="003D4DC6" w:rsidP="003D4DC6">
      <w:pPr>
        <w:tabs>
          <w:tab w:val="clear" w:pos="864"/>
          <w:tab w:val="clear" w:pos="1728"/>
        </w:tabs>
        <w:spacing w:after="120" w:line="269" w:lineRule="auto"/>
        <w:rPr>
          <w:rFonts w:cs="Arial"/>
          <w:szCs w:val="22"/>
        </w:rPr>
      </w:pPr>
      <w:r w:rsidRPr="003B7E3F">
        <w:rPr>
          <w:rFonts w:cs="Arial"/>
          <w:szCs w:val="22"/>
        </w:rPr>
        <w:t>The valuation determined by the Valuer General for mining tenements is calculated by multiplying the following factors.</w:t>
      </w:r>
    </w:p>
    <w:p w:rsidR="003D4DC6" w:rsidRPr="003B7E3F" w:rsidRDefault="003D4DC6" w:rsidP="003D4DC6">
      <w:pPr>
        <w:pStyle w:val="ListParagraph"/>
        <w:numPr>
          <w:ilvl w:val="0"/>
          <w:numId w:val="19"/>
        </w:numPr>
        <w:tabs>
          <w:tab w:val="clear" w:pos="864"/>
          <w:tab w:val="clear" w:pos="1728"/>
        </w:tabs>
        <w:spacing w:after="120" w:line="269" w:lineRule="auto"/>
        <w:ind w:left="709"/>
        <w:rPr>
          <w:rFonts w:cs="Arial"/>
          <w:szCs w:val="22"/>
        </w:rPr>
      </w:pPr>
      <w:r w:rsidRPr="003B7E3F">
        <w:rPr>
          <w:rFonts w:cs="Arial"/>
          <w:szCs w:val="22"/>
        </w:rPr>
        <w:t xml:space="preserve">Rental cost of the tenement type (mining lease, prospecting lease, exploration license, petroleum producing licence </w:t>
      </w:r>
      <w:r w:rsidR="00D75820" w:rsidRPr="003B7E3F">
        <w:rPr>
          <w:rFonts w:cs="Arial"/>
          <w:szCs w:val="22"/>
        </w:rPr>
        <w:t>etc.</w:t>
      </w:r>
      <w:r w:rsidRPr="003B7E3F">
        <w:rPr>
          <w:rFonts w:cs="Arial"/>
          <w:szCs w:val="22"/>
        </w:rPr>
        <w:t>);</w:t>
      </w:r>
    </w:p>
    <w:p w:rsidR="003D4DC6" w:rsidRPr="003B7E3F" w:rsidRDefault="003D4DC6" w:rsidP="003D4DC6">
      <w:pPr>
        <w:pStyle w:val="ListParagraph"/>
        <w:numPr>
          <w:ilvl w:val="0"/>
          <w:numId w:val="19"/>
        </w:numPr>
        <w:tabs>
          <w:tab w:val="clear" w:pos="864"/>
          <w:tab w:val="clear" w:pos="1728"/>
        </w:tabs>
        <w:spacing w:after="120" w:line="269" w:lineRule="auto"/>
        <w:ind w:left="709"/>
        <w:rPr>
          <w:rFonts w:cs="Arial"/>
          <w:szCs w:val="22"/>
        </w:rPr>
      </w:pPr>
      <w:r w:rsidRPr="003B7E3F">
        <w:rPr>
          <w:rFonts w:cs="Arial"/>
          <w:szCs w:val="22"/>
        </w:rPr>
        <w:t>UV</w:t>
      </w:r>
      <w:r w:rsidR="005C739E">
        <w:rPr>
          <w:rFonts w:cs="Arial"/>
          <w:szCs w:val="22"/>
        </w:rPr>
        <w:t xml:space="preserve"> basis as determined by the DMP;</w:t>
      </w:r>
      <w:r w:rsidRPr="003B7E3F">
        <w:rPr>
          <w:rFonts w:cs="Arial"/>
          <w:szCs w:val="22"/>
        </w:rPr>
        <w:t xml:space="preserve"> and</w:t>
      </w:r>
    </w:p>
    <w:p w:rsidR="003D4DC6" w:rsidRPr="003B7E3F" w:rsidRDefault="003D4DC6" w:rsidP="003D4DC6">
      <w:pPr>
        <w:pStyle w:val="ListParagraph"/>
        <w:numPr>
          <w:ilvl w:val="0"/>
          <w:numId w:val="19"/>
        </w:numPr>
        <w:tabs>
          <w:tab w:val="clear" w:pos="864"/>
          <w:tab w:val="clear" w:pos="1728"/>
        </w:tabs>
        <w:spacing w:after="120" w:line="269" w:lineRule="auto"/>
        <w:ind w:left="709"/>
        <w:rPr>
          <w:rFonts w:cs="Arial"/>
          <w:szCs w:val="22"/>
        </w:rPr>
      </w:pPr>
      <w:r w:rsidRPr="003B7E3F">
        <w:rPr>
          <w:rFonts w:cs="Arial"/>
          <w:szCs w:val="22"/>
        </w:rPr>
        <w:t>Tenement/license area</w:t>
      </w:r>
      <w:r w:rsidR="005C739E">
        <w:rPr>
          <w:rFonts w:cs="Arial"/>
          <w:szCs w:val="22"/>
        </w:rPr>
        <w:t>.</w:t>
      </w:r>
    </w:p>
    <w:p w:rsidR="003D4DC6" w:rsidRPr="003B7E3F" w:rsidRDefault="003D4DC6" w:rsidP="003D4DC6">
      <w:pPr>
        <w:tabs>
          <w:tab w:val="clear" w:pos="864"/>
          <w:tab w:val="clear" w:pos="1728"/>
        </w:tabs>
        <w:spacing w:after="120" w:line="269" w:lineRule="auto"/>
        <w:rPr>
          <w:rFonts w:cs="Arial"/>
          <w:szCs w:val="22"/>
        </w:rPr>
      </w:pPr>
      <w:r w:rsidRPr="003B7E3F">
        <w:rPr>
          <w:rFonts w:cs="Arial"/>
          <w:szCs w:val="22"/>
        </w:rPr>
        <w:t>The valuation of mining tenements is not reviewed each year, as occurs with other UV properties and changes when the tenement rental is amended.</w:t>
      </w:r>
    </w:p>
    <w:p w:rsidR="0078203A" w:rsidRPr="003B7E3F" w:rsidRDefault="0078203A" w:rsidP="00783CAE">
      <w:pPr>
        <w:tabs>
          <w:tab w:val="clear" w:pos="864"/>
          <w:tab w:val="clear" w:pos="1728"/>
        </w:tabs>
        <w:spacing w:line="269" w:lineRule="auto"/>
        <w:rPr>
          <w:rFonts w:cs="Arial"/>
          <w:b/>
          <w:i/>
          <w:color w:val="3A6097"/>
          <w:szCs w:val="22"/>
        </w:rPr>
      </w:pPr>
      <w:r w:rsidRPr="003B7E3F">
        <w:rPr>
          <w:rFonts w:cs="Arial"/>
          <w:b/>
          <w:i/>
          <w:color w:val="3A6097"/>
          <w:szCs w:val="22"/>
        </w:rPr>
        <w:t xml:space="preserve">Objections </w:t>
      </w:r>
      <w:r w:rsidR="003772B1" w:rsidRPr="003B7E3F">
        <w:rPr>
          <w:rFonts w:cs="Arial"/>
          <w:b/>
          <w:i/>
          <w:color w:val="3A6097"/>
          <w:szCs w:val="22"/>
        </w:rPr>
        <w:t xml:space="preserve">and Appeals </w:t>
      </w:r>
      <w:r w:rsidRPr="003B7E3F">
        <w:rPr>
          <w:rFonts w:cs="Arial"/>
          <w:b/>
          <w:i/>
          <w:color w:val="3A6097"/>
          <w:szCs w:val="22"/>
        </w:rPr>
        <w:t>to a Valuation</w:t>
      </w:r>
    </w:p>
    <w:p w:rsidR="003772B1" w:rsidRPr="003B7E3F" w:rsidRDefault="003772B1" w:rsidP="003772B1">
      <w:pPr>
        <w:tabs>
          <w:tab w:val="clear" w:pos="864"/>
          <w:tab w:val="clear" w:pos="1728"/>
        </w:tabs>
        <w:spacing w:after="120" w:line="269" w:lineRule="auto"/>
        <w:rPr>
          <w:rFonts w:cs="Arial"/>
          <w:szCs w:val="22"/>
        </w:rPr>
      </w:pPr>
      <w:r w:rsidRPr="003B7E3F">
        <w:rPr>
          <w:rFonts w:cs="Arial"/>
          <w:szCs w:val="22"/>
        </w:rPr>
        <w:t xml:space="preserve">Objections to valuations must be lodged with the Valuer General's Office within 60 days after issue of the rates notice. Rates are still required to be paid before the due date if an objection is lodged with a refund paid if the objection is successful. Forms are available from the Shire Office or on the </w:t>
      </w:r>
      <w:r w:rsidR="00672874" w:rsidRPr="003B7E3F">
        <w:rPr>
          <w:rFonts w:cs="Arial"/>
          <w:szCs w:val="22"/>
        </w:rPr>
        <w:t xml:space="preserve">Shire </w:t>
      </w:r>
      <w:r w:rsidR="00F6468F" w:rsidRPr="003B7E3F">
        <w:rPr>
          <w:rFonts w:cs="Arial"/>
          <w:szCs w:val="22"/>
        </w:rPr>
        <w:t>web</w:t>
      </w:r>
      <w:r w:rsidRPr="003B7E3F">
        <w:rPr>
          <w:rFonts w:cs="Arial"/>
          <w:szCs w:val="22"/>
        </w:rPr>
        <w:t>site.</w:t>
      </w:r>
    </w:p>
    <w:p w:rsidR="003772B1" w:rsidRPr="003B7E3F" w:rsidRDefault="003772B1" w:rsidP="003772B1">
      <w:pPr>
        <w:tabs>
          <w:tab w:val="clear" w:pos="864"/>
          <w:tab w:val="clear" w:pos="1728"/>
        </w:tabs>
        <w:spacing w:after="120" w:line="269" w:lineRule="auto"/>
        <w:rPr>
          <w:rFonts w:cs="Arial"/>
          <w:szCs w:val="22"/>
        </w:rPr>
      </w:pPr>
      <w:r w:rsidRPr="003B7E3F">
        <w:rPr>
          <w:rFonts w:cs="Arial"/>
          <w:szCs w:val="22"/>
        </w:rPr>
        <w:t>Under the provisions of the Local Government Act 1995, a property owner is able to lodge an objection to rates imposed by a Council on the following grounds:</w:t>
      </w:r>
    </w:p>
    <w:p w:rsidR="003772B1" w:rsidRPr="003B7E3F" w:rsidRDefault="003772B1" w:rsidP="003772B1">
      <w:pPr>
        <w:pStyle w:val="ListParagraph"/>
        <w:numPr>
          <w:ilvl w:val="0"/>
          <w:numId w:val="21"/>
        </w:numPr>
        <w:tabs>
          <w:tab w:val="clear" w:pos="864"/>
          <w:tab w:val="clear" w:pos="1728"/>
        </w:tabs>
        <w:spacing w:after="120" w:line="269" w:lineRule="auto"/>
        <w:ind w:left="709"/>
        <w:rPr>
          <w:rFonts w:cs="Arial"/>
          <w:szCs w:val="22"/>
        </w:rPr>
      </w:pPr>
      <w:r w:rsidRPr="003B7E3F">
        <w:rPr>
          <w:rFonts w:cs="Arial"/>
          <w:szCs w:val="22"/>
        </w:rPr>
        <w:t>There is an error on the rate assessment, either in respect to the owners or property details; or</w:t>
      </w:r>
    </w:p>
    <w:p w:rsidR="003772B1" w:rsidRPr="003B7E3F" w:rsidRDefault="003772B1" w:rsidP="003772B1">
      <w:pPr>
        <w:pStyle w:val="ListParagraph"/>
        <w:numPr>
          <w:ilvl w:val="0"/>
          <w:numId w:val="21"/>
        </w:numPr>
        <w:tabs>
          <w:tab w:val="clear" w:pos="864"/>
          <w:tab w:val="clear" w:pos="1728"/>
        </w:tabs>
        <w:spacing w:after="120" w:line="269" w:lineRule="auto"/>
        <w:ind w:left="709"/>
        <w:rPr>
          <w:rFonts w:cs="Arial"/>
          <w:szCs w:val="22"/>
        </w:rPr>
      </w:pPr>
      <w:r w:rsidRPr="003B7E3F">
        <w:rPr>
          <w:rFonts w:cs="Arial"/>
          <w:szCs w:val="22"/>
        </w:rPr>
        <w:t>The characteristics of the land differ from that used in the differential rating system.</w:t>
      </w:r>
    </w:p>
    <w:p w:rsidR="003772B1" w:rsidRDefault="003772B1" w:rsidP="003772B1">
      <w:pPr>
        <w:tabs>
          <w:tab w:val="clear" w:pos="864"/>
          <w:tab w:val="clear" w:pos="1728"/>
        </w:tabs>
        <w:spacing w:after="120" w:line="269" w:lineRule="auto"/>
        <w:rPr>
          <w:rFonts w:cs="Arial"/>
          <w:szCs w:val="22"/>
        </w:rPr>
      </w:pPr>
      <w:r w:rsidRPr="003B7E3F">
        <w:rPr>
          <w:rFonts w:cs="Arial"/>
          <w:szCs w:val="22"/>
        </w:rPr>
        <w:t>The objection is to be received within 60 days of the issue of the rate notice.</w:t>
      </w:r>
      <w:r w:rsidR="00672874" w:rsidRPr="003B7E3F">
        <w:rPr>
          <w:rFonts w:cs="Arial"/>
          <w:szCs w:val="22"/>
        </w:rPr>
        <w:t xml:space="preserve"> </w:t>
      </w:r>
      <w:r w:rsidR="00FA473D" w:rsidRPr="003B7E3F">
        <w:rPr>
          <w:rFonts w:cs="Arial"/>
          <w:szCs w:val="22"/>
        </w:rPr>
        <w:t>Please contact Shire s</w:t>
      </w:r>
      <w:r w:rsidRPr="003B7E3F">
        <w:rPr>
          <w:rFonts w:cs="Arial"/>
          <w:szCs w:val="22"/>
        </w:rPr>
        <w:t>taff if you would like to discuss this matter further.</w:t>
      </w:r>
    </w:p>
    <w:p w:rsidR="009A1D2B" w:rsidRPr="009A1D2B" w:rsidRDefault="009A1D2B" w:rsidP="009A1D2B">
      <w:pPr>
        <w:pStyle w:val="NoSpacing"/>
        <w:rPr>
          <w:rFonts w:eastAsiaTheme="minorHAnsi"/>
          <w:b/>
          <w:i/>
          <w:color w:val="1F497D" w:themeColor="text2"/>
        </w:rPr>
      </w:pPr>
      <w:r w:rsidRPr="009A1D2B">
        <w:rPr>
          <w:rFonts w:eastAsiaTheme="minorHAnsi"/>
          <w:b/>
          <w:i/>
          <w:color w:val="1F497D" w:themeColor="text2"/>
        </w:rPr>
        <w:t>Pensioner’s Discount</w:t>
      </w:r>
    </w:p>
    <w:p w:rsidR="009A1D2B" w:rsidRPr="009A1D2B" w:rsidRDefault="009A1D2B" w:rsidP="009A1D2B">
      <w:pPr>
        <w:pStyle w:val="NoSpacing"/>
      </w:pPr>
      <w:r w:rsidRPr="009A1D2B">
        <w:t>Eligible Pensioners are entitled to receive a discount on their rates. The Shire will determine the nature and extent of entitlement from details as at 1 July, in relation to ownership and occupation. Also a pro-rata rebate amount will be paid if a person becomes the holder of an eligible card type during the financial year which is effective from the date of registration. A deferral arrangement is also possible.</w:t>
      </w:r>
    </w:p>
    <w:p w:rsidR="009A1D2B" w:rsidRPr="009A1D2B" w:rsidRDefault="009A1D2B" w:rsidP="009A1D2B">
      <w:pPr>
        <w:pStyle w:val="Body1"/>
        <w:rPr>
          <w:rFonts w:ascii="Arial" w:hAnsi="Arial" w:cs="Arial"/>
        </w:rPr>
      </w:pPr>
      <w:r w:rsidRPr="009A1D2B">
        <w:rPr>
          <w:rFonts w:ascii="Arial" w:hAnsi="Arial" w:cs="Arial"/>
        </w:rPr>
        <w:t>If the circumstances of a Pensioner, who is already claiming the rebate, have changed during the previous year, they will need to update their details (</w:t>
      </w:r>
      <w:r w:rsidR="00251CDA" w:rsidRPr="009A1D2B">
        <w:rPr>
          <w:rFonts w:ascii="Arial" w:hAnsi="Arial" w:cs="Arial"/>
        </w:rPr>
        <w:t>i.e.</w:t>
      </w:r>
      <w:r w:rsidRPr="009A1D2B">
        <w:rPr>
          <w:rFonts w:ascii="Arial" w:hAnsi="Arial" w:cs="Arial"/>
        </w:rPr>
        <w:t xml:space="preserve"> card number, </w:t>
      </w:r>
      <w:r w:rsidR="00251CDA" w:rsidRPr="009A1D2B">
        <w:rPr>
          <w:rFonts w:ascii="Arial" w:hAnsi="Arial" w:cs="Arial"/>
        </w:rPr>
        <w:t>etc.</w:t>
      </w:r>
      <w:r w:rsidRPr="009A1D2B">
        <w:rPr>
          <w:rFonts w:ascii="Arial" w:hAnsi="Arial" w:cs="Arial"/>
        </w:rPr>
        <w:t>) with the Shire.</w:t>
      </w:r>
    </w:p>
    <w:p w:rsidR="009A1D2B" w:rsidRPr="009A1D2B" w:rsidRDefault="009A1D2B" w:rsidP="009A1D2B">
      <w:pPr>
        <w:pStyle w:val="Body1"/>
        <w:rPr>
          <w:rFonts w:ascii="Arial" w:hAnsi="Arial" w:cs="Arial"/>
        </w:rPr>
      </w:pPr>
      <w:r w:rsidRPr="009A1D2B">
        <w:rPr>
          <w:rFonts w:ascii="Arial" w:hAnsi="Arial" w:cs="Arial"/>
        </w:rPr>
        <w:t>Please contact Shire staff if you believe you may be eligible for the rebate.</w:t>
      </w:r>
    </w:p>
    <w:p w:rsidR="00BF1C6A" w:rsidRDefault="00BF1C6A" w:rsidP="00674A42">
      <w:pPr>
        <w:tabs>
          <w:tab w:val="clear" w:pos="864"/>
          <w:tab w:val="clear" w:pos="1728"/>
        </w:tabs>
        <w:spacing w:line="269" w:lineRule="auto"/>
        <w:rPr>
          <w:rFonts w:cs="Arial"/>
          <w:b/>
          <w:i/>
          <w:color w:val="3A6097"/>
          <w:szCs w:val="22"/>
        </w:rPr>
      </w:pPr>
    </w:p>
    <w:p w:rsidR="00C652BA" w:rsidRDefault="00C652BA" w:rsidP="00674A42">
      <w:pPr>
        <w:tabs>
          <w:tab w:val="clear" w:pos="864"/>
          <w:tab w:val="clear" w:pos="1728"/>
        </w:tabs>
        <w:spacing w:line="269" w:lineRule="auto"/>
        <w:rPr>
          <w:rFonts w:cs="Arial"/>
          <w:b/>
          <w:i/>
          <w:color w:val="3A6097"/>
          <w:szCs w:val="22"/>
        </w:rPr>
      </w:pPr>
    </w:p>
    <w:p w:rsidR="00C652BA" w:rsidRDefault="00C652BA" w:rsidP="00674A42">
      <w:pPr>
        <w:tabs>
          <w:tab w:val="clear" w:pos="864"/>
          <w:tab w:val="clear" w:pos="1728"/>
        </w:tabs>
        <w:spacing w:line="269" w:lineRule="auto"/>
        <w:rPr>
          <w:rFonts w:cs="Arial"/>
          <w:b/>
          <w:i/>
          <w:color w:val="3A6097"/>
          <w:szCs w:val="22"/>
        </w:rPr>
      </w:pPr>
    </w:p>
    <w:p w:rsidR="00C652BA" w:rsidRDefault="00C652BA" w:rsidP="00674A42">
      <w:pPr>
        <w:tabs>
          <w:tab w:val="clear" w:pos="864"/>
          <w:tab w:val="clear" w:pos="1728"/>
        </w:tabs>
        <w:spacing w:line="269" w:lineRule="auto"/>
        <w:rPr>
          <w:rFonts w:cs="Arial"/>
          <w:b/>
          <w:i/>
          <w:color w:val="3A6097"/>
          <w:szCs w:val="22"/>
        </w:rPr>
      </w:pPr>
    </w:p>
    <w:p w:rsidR="00C652BA" w:rsidRDefault="00C652BA" w:rsidP="00674A42">
      <w:pPr>
        <w:tabs>
          <w:tab w:val="clear" w:pos="864"/>
          <w:tab w:val="clear" w:pos="1728"/>
        </w:tabs>
        <w:spacing w:line="269" w:lineRule="auto"/>
        <w:rPr>
          <w:rFonts w:cs="Arial"/>
          <w:b/>
          <w:i/>
          <w:color w:val="3A6097"/>
          <w:szCs w:val="22"/>
        </w:rPr>
      </w:pPr>
    </w:p>
    <w:p w:rsidR="00C652BA" w:rsidRDefault="00C652BA" w:rsidP="00674A42">
      <w:pPr>
        <w:tabs>
          <w:tab w:val="clear" w:pos="864"/>
          <w:tab w:val="clear" w:pos="1728"/>
        </w:tabs>
        <w:spacing w:line="269" w:lineRule="auto"/>
        <w:rPr>
          <w:rFonts w:cs="Arial"/>
          <w:b/>
          <w:i/>
          <w:color w:val="3A6097"/>
          <w:szCs w:val="22"/>
        </w:rPr>
      </w:pPr>
    </w:p>
    <w:p w:rsidR="00C652BA" w:rsidRDefault="00C652BA" w:rsidP="00674A42">
      <w:pPr>
        <w:tabs>
          <w:tab w:val="clear" w:pos="864"/>
          <w:tab w:val="clear" w:pos="1728"/>
        </w:tabs>
        <w:spacing w:line="269" w:lineRule="auto"/>
        <w:rPr>
          <w:rFonts w:cs="Arial"/>
          <w:b/>
          <w:i/>
          <w:color w:val="3A6097"/>
          <w:szCs w:val="22"/>
        </w:rPr>
      </w:pPr>
    </w:p>
    <w:p w:rsidR="00C652BA" w:rsidRDefault="00C652BA" w:rsidP="00674A42">
      <w:pPr>
        <w:tabs>
          <w:tab w:val="clear" w:pos="864"/>
          <w:tab w:val="clear" w:pos="1728"/>
        </w:tabs>
        <w:spacing w:line="269" w:lineRule="auto"/>
        <w:rPr>
          <w:rFonts w:cs="Arial"/>
          <w:b/>
          <w:i/>
          <w:color w:val="3A6097"/>
          <w:szCs w:val="22"/>
        </w:rPr>
      </w:pPr>
    </w:p>
    <w:p w:rsidR="00C652BA" w:rsidRDefault="00C652BA" w:rsidP="00674A42">
      <w:pPr>
        <w:tabs>
          <w:tab w:val="clear" w:pos="864"/>
          <w:tab w:val="clear" w:pos="1728"/>
        </w:tabs>
        <w:spacing w:line="269" w:lineRule="auto"/>
        <w:rPr>
          <w:rFonts w:cs="Arial"/>
          <w:b/>
          <w:i/>
          <w:color w:val="3A6097"/>
          <w:szCs w:val="22"/>
        </w:rPr>
      </w:pPr>
    </w:p>
    <w:p w:rsidR="00C652BA" w:rsidRDefault="00C652BA" w:rsidP="00674A42">
      <w:pPr>
        <w:tabs>
          <w:tab w:val="clear" w:pos="864"/>
          <w:tab w:val="clear" w:pos="1728"/>
        </w:tabs>
        <w:spacing w:line="269" w:lineRule="auto"/>
        <w:rPr>
          <w:rFonts w:cs="Arial"/>
          <w:b/>
          <w:i/>
          <w:color w:val="3A6097"/>
          <w:szCs w:val="22"/>
        </w:rPr>
      </w:pPr>
    </w:p>
    <w:p w:rsidR="00C652BA" w:rsidRPr="003B7E3F" w:rsidRDefault="00C652BA" w:rsidP="00C652BA">
      <w:pPr>
        <w:pStyle w:val="Heading3"/>
        <w:tabs>
          <w:tab w:val="left" w:pos="851"/>
        </w:tabs>
        <w:spacing w:after="120" w:line="269" w:lineRule="auto"/>
        <w:rPr>
          <w:rFonts w:ascii="Arial" w:hAnsi="Arial"/>
          <w:bCs w:val="0"/>
          <w:i w:val="0"/>
          <w:spacing w:val="0"/>
          <w:sz w:val="24"/>
          <w:szCs w:val="22"/>
          <w:lang w:eastAsia="en-US"/>
        </w:rPr>
      </w:pPr>
      <w:r w:rsidRPr="003B7E3F">
        <w:rPr>
          <w:rFonts w:ascii="Arial" w:hAnsi="Arial"/>
          <w:bCs w:val="0"/>
          <w:i w:val="0"/>
          <w:spacing w:val="0"/>
          <w:sz w:val="24"/>
          <w:szCs w:val="22"/>
          <w:lang w:eastAsia="en-US"/>
        </w:rPr>
        <w:t xml:space="preserve">SUPPORTING STATEMENT OF RATING INFORMATION </w:t>
      </w:r>
      <w:r>
        <w:rPr>
          <w:rFonts w:ascii="Arial" w:hAnsi="Arial"/>
          <w:bCs w:val="0"/>
          <w:i w:val="0"/>
          <w:spacing w:val="0"/>
          <w:sz w:val="24"/>
          <w:szCs w:val="22"/>
          <w:lang w:eastAsia="en-US"/>
        </w:rPr>
        <w:t>201</w:t>
      </w:r>
      <w:r w:rsidR="00342D2E">
        <w:rPr>
          <w:rFonts w:ascii="Arial" w:hAnsi="Arial"/>
          <w:bCs w:val="0"/>
          <w:i w:val="0"/>
          <w:spacing w:val="0"/>
          <w:sz w:val="24"/>
          <w:szCs w:val="22"/>
          <w:lang w:eastAsia="en-US"/>
        </w:rPr>
        <w:t>8</w:t>
      </w:r>
      <w:r>
        <w:rPr>
          <w:rFonts w:ascii="Arial" w:hAnsi="Arial"/>
          <w:bCs w:val="0"/>
          <w:i w:val="0"/>
          <w:spacing w:val="0"/>
          <w:sz w:val="24"/>
          <w:szCs w:val="22"/>
          <w:lang w:eastAsia="en-US"/>
        </w:rPr>
        <w:t>/1</w:t>
      </w:r>
      <w:r w:rsidR="00342D2E">
        <w:rPr>
          <w:rFonts w:ascii="Arial" w:hAnsi="Arial"/>
          <w:bCs w:val="0"/>
          <w:i w:val="0"/>
          <w:spacing w:val="0"/>
          <w:sz w:val="24"/>
          <w:szCs w:val="22"/>
          <w:lang w:eastAsia="en-US"/>
        </w:rPr>
        <w:t>9</w:t>
      </w:r>
      <w:r w:rsidRPr="003B7E3F">
        <w:rPr>
          <w:rFonts w:ascii="Arial" w:hAnsi="Arial"/>
          <w:bCs w:val="0"/>
          <w:i w:val="0"/>
          <w:spacing w:val="0"/>
          <w:sz w:val="24"/>
          <w:szCs w:val="22"/>
          <w:lang w:eastAsia="en-US"/>
        </w:rPr>
        <w:t xml:space="preserve"> (Continued)</w:t>
      </w:r>
    </w:p>
    <w:p w:rsidR="00C652BA" w:rsidRDefault="00C652BA" w:rsidP="00674A42">
      <w:pPr>
        <w:tabs>
          <w:tab w:val="clear" w:pos="864"/>
          <w:tab w:val="clear" w:pos="1728"/>
        </w:tabs>
        <w:spacing w:line="269" w:lineRule="auto"/>
        <w:rPr>
          <w:rFonts w:cs="Arial"/>
          <w:b/>
          <w:i/>
          <w:color w:val="3A6097"/>
          <w:szCs w:val="22"/>
        </w:rPr>
      </w:pPr>
    </w:p>
    <w:p w:rsidR="00674A42" w:rsidRPr="003B7E3F" w:rsidRDefault="00674A42" w:rsidP="00674A42">
      <w:pPr>
        <w:tabs>
          <w:tab w:val="clear" w:pos="864"/>
          <w:tab w:val="clear" w:pos="1728"/>
        </w:tabs>
        <w:spacing w:line="269" w:lineRule="auto"/>
        <w:rPr>
          <w:rFonts w:cs="Arial"/>
          <w:b/>
          <w:i/>
          <w:color w:val="3A6097"/>
          <w:szCs w:val="22"/>
        </w:rPr>
      </w:pPr>
      <w:r w:rsidRPr="003B7E3F">
        <w:rPr>
          <w:rFonts w:cs="Arial"/>
          <w:b/>
          <w:i/>
          <w:color w:val="3A6097"/>
          <w:szCs w:val="22"/>
        </w:rPr>
        <w:t xml:space="preserve">Exemptions, Instalments, Concessions and Waivers </w:t>
      </w:r>
    </w:p>
    <w:p w:rsidR="00BF53E5" w:rsidRPr="00615A5F" w:rsidRDefault="00674A42" w:rsidP="00615A5F">
      <w:pPr>
        <w:tabs>
          <w:tab w:val="clear" w:pos="864"/>
          <w:tab w:val="clear" w:pos="1728"/>
        </w:tabs>
        <w:spacing w:after="120" w:line="269" w:lineRule="auto"/>
        <w:rPr>
          <w:rFonts w:cs="Arial"/>
          <w:szCs w:val="22"/>
        </w:rPr>
      </w:pPr>
      <w:r w:rsidRPr="003B7E3F">
        <w:rPr>
          <w:rFonts w:cs="Arial"/>
          <w:szCs w:val="22"/>
        </w:rPr>
        <w:t>The Shire requires organisations seeking exemption from rates in accordance with section 6.26 of the Act to make application to the Council for determination.</w:t>
      </w:r>
    </w:p>
    <w:p w:rsidR="00674A42" w:rsidRPr="00FF08B6" w:rsidRDefault="00674A42" w:rsidP="00674A42">
      <w:pPr>
        <w:tabs>
          <w:tab w:val="clear" w:pos="864"/>
          <w:tab w:val="clear" w:pos="1728"/>
        </w:tabs>
        <w:spacing w:after="120" w:line="269" w:lineRule="auto"/>
        <w:rPr>
          <w:rFonts w:cs="Arial"/>
          <w:szCs w:val="22"/>
        </w:rPr>
      </w:pPr>
      <w:r w:rsidRPr="003B7E3F">
        <w:rPr>
          <w:rFonts w:cs="Arial"/>
          <w:szCs w:val="22"/>
        </w:rPr>
        <w:t xml:space="preserve">The Shire will provide concessions to Pensioners in accordance with the requirements of the Rates and Charges (Rebates and Deferments) Act 1992. </w:t>
      </w:r>
    </w:p>
    <w:p w:rsidR="00674A42" w:rsidRPr="003B7E3F" w:rsidRDefault="00674A42" w:rsidP="00674A42">
      <w:pPr>
        <w:tabs>
          <w:tab w:val="clear" w:pos="864"/>
          <w:tab w:val="clear" w:pos="1728"/>
        </w:tabs>
        <w:spacing w:after="120" w:line="269" w:lineRule="auto"/>
        <w:rPr>
          <w:rFonts w:cs="Arial"/>
          <w:szCs w:val="22"/>
        </w:rPr>
      </w:pPr>
      <w:r w:rsidRPr="003B7E3F">
        <w:rPr>
          <w:rFonts w:cs="Arial"/>
          <w:szCs w:val="22"/>
        </w:rPr>
        <w:t>Council will offer three rate payment options as follows:</w:t>
      </w:r>
    </w:p>
    <w:p w:rsidR="00674A42" w:rsidRPr="003B7E3F" w:rsidRDefault="00674A42" w:rsidP="00674A42">
      <w:pPr>
        <w:pStyle w:val="ListParagraph"/>
        <w:numPr>
          <w:ilvl w:val="0"/>
          <w:numId w:val="18"/>
        </w:numPr>
        <w:tabs>
          <w:tab w:val="clear" w:pos="864"/>
          <w:tab w:val="clear" w:pos="1728"/>
        </w:tabs>
        <w:spacing w:after="120" w:line="269" w:lineRule="auto"/>
        <w:rPr>
          <w:rFonts w:cs="Arial"/>
          <w:szCs w:val="22"/>
        </w:rPr>
      </w:pPr>
      <w:r w:rsidRPr="003B7E3F">
        <w:rPr>
          <w:rFonts w:cs="Arial"/>
          <w:szCs w:val="22"/>
        </w:rPr>
        <w:t>Payment in full 35 days after the date of service appearing on the rate notice;</w:t>
      </w:r>
    </w:p>
    <w:p w:rsidR="00674A42" w:rsidRPr="003B7E3F" w:rsidRDefault="00674A42" w:rsidP="00674A42">
      <w:pPr>
        <w:pStyle w:val="ListParagraph"/>
        <w:numPr>
          <w:ilvl w:val="0"/>
          <w:numId w:val="18"/>
        </w:numPr>
        <w:tabs>
          <w:tab w:val="clear" w:pos="864"/>
          <w:tab w:val="clear" w:pos="1728"/>
        </w:tabs>
        <w:spacing w:after="120" w:line="269" w:lineRule="auto"/>
        <w:rPr>
          <w:rFonts w:cs="Arial"/>
          <w:szCs w:val="22"/>
        </w:rPr>
      </w:pPr>
      <w:r w:rsidRPr="003B7E3F">
        <w:rPr>
          <w:rFonts w:cs="Arial"/>
          <w:szCs w:val="22"/>
        </w:rPr>
        <w:t>Two instalments; and</w:t>
      </w:r>
    </w:p>
    <w:p w:rsidR="00674A42" w:rsidRPr="003B7E3F" w:rsidRDefault="00674A42" w:rsidP="00674A42">
      <w:pPr>
        <w:pStyle w:val="ListParagraph"/>
        <w:numPr>
          <w:ilvl w:val="0"/>
          <w:numId w:val="18"/>
        </w:numPr>
        <w:tabs>
          <w:tab w:val="clear" w:pos="864"/>
          <w:tab w:val="clear" w:pos="1728"/>
        </w:tabs>
        <w:spacing w:after="120" w:line="269" w:lineRule="auto"/>
        <w:rPr>
          <w:rFonts w:cs="Arial"/>
          <w:szCs w:val="22"/>
        </w:rPr>
      </w:pPr>
      <w:r w:rsidRPr="003B7E3F">
        <w:rPr>
          <w:rFonts w:cs="Arial"/>
          <w:szCs w:val="22"/>
        </w:rPr>
        <w:t>Four Instalments.</w:t>
      </w:r>
    </w:p>
    <w:p w:rsidR="00B54493" w:rsidRDefault="00BF53E5" w:rsidP="00674A42">
      <w:pPr>
        <w:tabs>
          <w:tab w:val="clear" w:pos="864"/>
          <w:tab w:val="clear" w:pos="1728"/>
        </w:tabs>
        <w:spacing w:after="120" w:line="269" w:lineRule="auto"/>
        <w:rPr>
          <w:rFonts w:cs="Arial"/>
          <w:szCs w:val="22"/>
        </w:rPr>
      </w:pPr>
      <w:r w:rsidRPr="003B7E3F">
        <w:rPr>
          <w:rFonts w:cs="Arial"/>
          <w:szCs w:val="22"/>
        </w:rPr>
        <w:t xml:space="preserve">Interest on overdue rates </w:t>
      </w:r>
      <w:r w:rsidR="00674A42" w:rsidRPr="003B7E3F">
        <w:rPr>
          <w:rFonts w:cs="Arial"/>
          <w:szCs w:val="22"/>
        </w:rPr>
        <w:t xml:space="preserve">not paid in accordance with the three payment options will be subject to an overdue interest rate set by the Council at the time of adoption </w:t>
      </w:r>
      <w:r w:rsidR="006B7FC2">
        <w:rPr>
          <w:rFonts w:cs="Arial"/>
          <w:szCs w:val="22"/>
        </w:rPr>
        <w:t xml:space="preserve">of </w:t>
      </w:r>
      <w:r w:rsidR="00674A42" w:rsidRPr="003B7E3F">
        <w:rPr>
          <w:rFonts w:cs="Arial"/>
          <w:szCs w:val="22"/>
        </w:rPr>
        <w:t xml:space="preserve">the annual budget. </w:t>
      </w:r>
    </w:p>
    <w:p w:rsidR="00C652BA" w:rsidRDefault="00674A42" w:rsidP="00342D2E">
      <w:pPr>
        <w:tabs>
          <w:tab w:val="clear" w:pos="864"/>
          <w:tab w:val="clear" w:pos="1728"/>
        </w:tabs>
        <w:spacing w:after="120" w:line="269" w:lineRule="auto"/>
        <w:rPr>
          <w:rFonts w:cs="Arial"/>
          <w:szCs w:val="22"/>
        </w:rPr>
      </w:pPr>
      <w:r w:rsidRPr="003B7E3F">
        <w:rPr>
          <w:rFonts w:cs="Arial"/>
          <w:szCs w:val="22"/>
        </w:rPr>
        <w:t xml:space="preserve">Ratepayers with unpaid and overdue rates may be offered a scheme of arrangement for payment subject to the approval of the Chief Executive Officer.  </w:t>
      </w:r>
    </w:p>
    <w:p w:rsidR="006B7FC2" w:rsidRDefault="006B7FC2" w:rsidP="00783CAE">
      <w:pPr>
        <w:tabs>
          <w:tab w:val="clear" w:pos="864"/>
          <w:tab w:val="clear" w:pos="1728"/>
        </w:tabs>
        <w:spacing w:line="269" w:lineRule="auto"/>
        <w:rPr>
          <w:rFonts w:cs="Arial"/>
          <w:b/>
          <w:i/>
          <w:color w:val="3A6097"/>
          <w:szCs w:val="22"/>
        </w:rPr>
      </w:pPr>
    </w:p>
    <w:p w:rsidR="009F1796" w:rsidRPr="003B7E3F" w:rsidRDefault="00C652BA" w:rsidP="00783CAE">
      <w:pPr>
        <w:tabs>
          <w:tab w:val="clear" w:pos="864"/>
          <w:tab w:val="clear" w:pos="1728"/>
        </w:tabs>
        <w:spacing w:line="269" w:lineRule="auto"/>
        <w:rPr>
          <w:rFonts w:cs="Arial"/>
          <w:b/>
          <w:i/>
          <w:color w:val="3A6097"/>
          <w:szCs w:val="22"/>
        </w:rPr>
      </w:pPr>
      <w:r>
        <w:rPr>
          <w:rFonts w:cs="Arial"/>
          <w:b/>
          <w:i/>
          <w:color w:val="3A6097"/>
          <w:szCs w:val="22"/>
        </w:rPr>
        <w:t>Rating Structure</w:t>
      </w:r>
    </w:p>
    <w:p w:rsidR="007033F6" w:rsidRPr="003B7E3F" w:rsidRDefault="009F1796" w:rsidP="000F1C45">
      <w:pPr>
        <w:tabs>
          <w:tab w:val="clear" w:pos="864"/>
          <w:tab w:val="clear" w:pos="1728"/>
        </w:tabs>
        <w:spacing w:after="120" w:line="269" w:lineRule="auto"/>
        <w:rPr>
          <w:rFonts w:cs="Arial"/>
          <w:szCs w:val="22"/>
        </w:rPr>
      </w:pPr>
      <w:r w:rsidRPr="003B7E3F">
        <w:rPr>
          <w:rFonts w:cs="Arial"/>
          <w:szCs w:val="22"/>
        </w:rPr>
        <w:t>The Local Government Act 1995</w:t>
      </w:r>
      <w:r w:rsidR="00BF53E5" w:rsidRPr="003B7E3F">
        <w:rPr>
          <w:rFonts w:cs="Arial"/>
          <w:szCs w:val="22"/>
        </w:rPr>
        <w:t>,</w:t>
      </w:r>
      <w:r w:rsidRPr="003B7E3F">
        <w:rPr>
          <w:rFonts w:cs="Arial"/>
          <w:szCs w:val="22"/>
        </w:rPr>
        <w:t xml:space="preserve"> provides that properties of a </w:t>
      </w:r>
      <w:r w:rsidR="00BF53E5" w:rsidRPr="003B7E3F">
        <w:rPr>
          <w:rFonts w:cs="Arial"/>
          <w:szCs w:val="22"/>
        </w:rPr>
        <w:t>non-r</w:t>
      </w:r>
      <w:r w:rsidRPr="003B7E3F">
        <w:rPr>
          <w:rFonts w:cs="Arial"/>
          <w:szCs w:val="22"/>
        </w:rPr>
        <w:t xml:space="preserve">ural purpose be rated using the Gross Rental Valuation (GRV) as the basis for the calculation of annual rates. </w:t>
      </w:r>
      <w:r w:rsidR="007033F6" w:rsidRPr="003B7E3F">
        <w:rPr>
          <w:rFonts w:cs="Arial"/>
          <w:szCs w:val="22"/>
        </w:rPr>
        <w:t xml:space="preserve">Property values are independently assessed for </w:t>
      </w:r>
      <w:r w:rsidRPr="003B7E3F">
        <w:rPr>
          <w:rFonts w:cs="Arial"/>
          <w:szCs w:val="22"/>
        </w:rPr>
        <w:t xml:space="preserve">all </w:t>
      </w:r>
      <w:r w:rsidR="00BF53E5" w:rsidRPr="003B7E3F">
        <w:rPr>
          <w:rFonts w:cs="Arial"/>
          <w:szCs w:val="22"/>
        </w:rPr>
        <w:t xml:space="preserve">GRV </w:t>
      </w:r>
      <w:r w:rsidRPr="003B7E3F">
        <w:rPr>
          <w:rFonts w:cs="Arial"/>
          <w:szCs w:val="22"/>
        </w:rPr>
        <w:t xml:space="preserve">properties every </w:t>
      </w:r>
      <w:r w:rsidR="007033F6" w:rsidRPr="003B7E3F">
        <w:rPr>
          <w:rFonts w:cs="Arial"/>
          <w:szCs w:val="22"/>
        </w:rPr>
        <w:t xml:space="preserve">three </w:t>
      </w:r>
      <w:r w:rsidRPr="003B7E3F">
        <w:rPr>
          <w:rFonts w:cs="Arial"/>
          <w:szCs w:val="22"/>
        </w:rPr>
        <w:t>years</w:t>
      </w:r>
      <w:r w:rsidR="007033F6" w:rsidRPr="003B7E3F">
        <w:rPr>
          <w:rFonts w:cs="Arial"/>
          <w:szCs w:val="22"/>
        </w:rPr>
        <w:t xml:space="preserve">. </w:t>
      </w:r>
    </w:p>
    <w:p w:rsidR="009F1796" w:rsidRPr="003B7E3F" w:rsidRDefault="009F1796" w:rsidP="000F1C45">
      <w:pPr>
        <w:tabs>
          <w:tab w:val="clear" w:pos="864"/>
          <w:tab w:val="clear" w:pos="1728"/>
        </w:tabs>
        <w:spacing w:after="120" w:line="269" w:lineRule="auto"/>
        <w:rPr>
          <w:rFonts w:cs="Arial"/>
          <w:szCs w:val="22"/>
        </w:rPr>
      </w:pPr>
      <w:r w:rsidRPr="003B7E3F">
        <w:rPr>
          <w:rFonts w:cs="Arial"/>
          <w:szCs w:val="22"/>
        </w:rPr>
        <w:t xml:space="preserve">The </w:t>
      </w:r>
      <w:r w:rsidR="0078203A" w:rsidRPr="003B7E3F">
        <w:rPr>
          <w:rFonts w:cs="Arial"/>
          <w:szCs w:val="22"/>
        </w:rPr>
        <w:t xml:space="preserve">base GRV </w:t>
      </w:r>
      <w:r w:rsidRPr="003B7E3F">
        <w:rPr>
          <w:rFonts w:cs="Arial"/>
          <w:szCs w:val="22"/>
        </w:rPr>
        <w:t xml:space="preserve">valuation is effective from 1 July </w:t>
      </w:r>
      <w:r w:rsidR="000D6758">
        <w:rPr>
          <w:rFonts w:cs="Arial"/>
          <w:szCs w:val="22"/>
        </w:rPr>
        <w:t>201</w:t>
      </w:r>
      <w:r w:rsidR="006B7FC2">
        <w:rPr>
          <w:rFonts w:cs="Arial"/>
          <w:szCs w:val="22"/>
        </w:rPr>
        <w:t>8</w:t>
      </w:r>
      <w:r w:rsidRPr="00FF08B6">
        <w:rPr>
          <w:rFonts w:cs="Arial"/>
          <w:szCs w:val="22"/>
        </w:rPr>
        <w:t>. Interim</w:t>
      </w:r>
      <w:r w:rsidRPr="003B7E3F">
        <w:rPr>
          <w:rFonts w:cs="Arial"/>
          <w:szCs w:val="22"/>
        </w:rPr>
        <w:t xml:space="preserve"> valuations are provided </w:t>
      </w:r>
      <w:r w:rsidR="0078203A" w:rsidRPr="003B7E3F">
        <w:rPr>
          <w:rFonts w:cs="Arial"/>
          <w:szCs w:val="22"/>
        </w:rPr>
        <w:t xml:space="preserve">to the Shire </w:t>
      </w:r>
      <w:r w:rsidR="00611BDB" w:rsidRPr="003B7E3F">
        <w:rPr>
          <w:rFonts w:cs="Arial"/>
          <w:szCs w:val="22"/>
        </w:rPr>
        <w:t>regularly by</w:t>
      </w:r>
      <w:r w:rsidRPr="003B7E3F">
        <w:rPr>
          <w:rFonts w:cs="Arial"/>
          <w:szCs w:val="22"/>
        </w:rPr>
        <w:t xml:space="preserve"> the Valuer General </w:t>
      </w:r>
      <w:r w:rsidR="0078203A" w:rsidRPr="003B7E3F">
        <w:rPr>
          <w:rFonts w:cs="Arial"/>
          <w:szCs w:val="22"/>
        </w:rPr>
        <w:t xml:space="preserve">if </w:t>
      </w:r>
      <w:r w:rsidRPr="003B7E3F">
        <w:rPr>
          <w:rFonts w:cs="Arial"/>
          <w:szCs w:val="22"/>
        </w:rPr>
        <w:t>changes</w:t>
      </w:r>
      <w:r w:rsidR="0078203A" w:rsidRPr="003B7E3F">
        <w:rPr>
          <w:rFonts w:cs="Arial"/>
          <w:szCs w:val="22"/>
        </w:rPr>
        <w:t>, such as</w:t>
      </w:r>
      <w:r w:rsidRPr="003B7E3F">
        <w:rPr>
          <w:rFonts w:cs="Arial"/>
          <w:szCs w:val="22"/>
        </w:rPr>
        <w:t xml:space="preserve"> </w:t>
      </w:r>
      <w:r w:rsidR="0078203A" w:rsidRPr="003B7E3F">
        <w:rPr>
          <w:rFonts w:cs="Arial"/>
          <w:szCs w:val="22"/>
        </w:rPr>
        <w:t xml:space="preserve">subdivisions or strata title of property, amalgamations, building constructions, demolition, additions and/or property </w:t>
      </w:r>
      <w:r w:rsidR="00CF1B66" w:rsidRPr="003B7E3F">
        <w:rPr>
          <w:rFonts w:cs="Arial"/>
          <w:szCs w:val="22"/>
        </w:rPr>
        <w:t>rezoning occur</w:t>
      </w:r>
      <w:r w:rsidRPr="003B7E3F">
        <w:rPr>
          <w:rFonts w:cs="Arial"/>
          <w:szCs w:val="22"/>
        </w:rPr>
        <w:t xml:space="preserve"> during the year</w:t>
      </w:r>
      <w:r w:rsidR="0078203A" w:rsidRPr="003B7E3F">
        <w:rPr>
          <w:rFonts w:cs="Arial"/>
          <w:szCs w:val="22"/>
        </w:rPr>
        <w:t xml:space="preserve">. </w:t>
      </w:r>
      <w:r w:rsidRPr="003B7E3F">
        <w:rPr>
          <w:rFonts w:cs="Arial"/>
          <w:szCs w:val="22"/>
        </w:rPr>
        <w:t xml:space="preserve"> In such instances</w:t>
      </w:r>
      <w:r w:rsidR="00BF53E5" w:rsidRPr="003B7E3F">
        <w:rPr>
          <w:rFonts w:cs="Arial"/>
          <w:szCs w:val="22"/>
        </w:rPr>
        <w:t>,</w:t>
      </w:r>
      <w:r w:rsidRPr="003B7E3F">
        <w:rPr>
          <w:rFonts w:cs="Arial"/>
          <w:szCs w:val="22"/>
        </w:rPr>
        <w:t xml:space="preserve"> </w:t>
      </w:r>
      <w:r w:rsidR="0078203A" w:rsidRPr="003B7E3F">
        <w:rPr>
          <w:rFonts w:cs="Arial"/>
          <w:szCs w:val="22"/>
        </w:rPr>
        <w:t xml:space="preserve">the Shire amends the valuation on record and </w:t>
      </w:r>
      <w:r w:rsidRPr="003B7E3F">
        <w:rPr>
          <w:rFonts w:cs="Arial"/>
          <w:szCs w:val="22"/>
        </w:rPr>
        <w:t xml:space="preserve">recalculates the rates for the affected properties </w:t>
      </w:r>
      <w:r w:rsidR="008714C8" w:rsidRPr="003B7E3F">
        <w:rPr>
          <w:rFonts w:cs="Arial"/>
          <w:szCs w:val="22"/>
        </w:rPr>
        <w:t xml:space="preserve">for the purpose of </w:t>
      </w:r>
      <w:r w:rsidRPr="003B7E3F">
        <w:rPr>
          <w:rFonts w:cs="Arial"/>
          <w:szCs w:val="22"/>
        </w:rPr>
        <w:t>issu</w:t>
      </w:r>
      <w:r w:rsidR="008714C8" w:rsidRPr="003B7E3F">
        <w:rPr>
          <w:rFonts w:cs="Arial"/>
          <w:szCs w:val="22"/>
        </w:rPr>
        <w:t xml:space="preserve">ing </w:t>
      </w:r>
      <w:r w:rsidR="007033F6" w:rsidRPr="003B7E3F">
        <w:rPr>
          <w:rFonts w:cs="Arial"/>
          <w:szCs w:val="22"/>
        </w:rPr>
        <w:t xml:space="preserve">an </w:t>
      </w:r>
      <w:r w:rsidRPr="003B7E3F">
        <w:rPr>
          <w:rFonts w:cs="Arial"/>
          <w:szCs w:val="22"/>
        </w:rPr>
        <w:t>interim rate notice.</w:t>
      </w:r>
    </w:p>
    <w:p w:rsidR="00AD68FA" w:rsidRDefault="00E74F05" w:rsidP="000F1C45">
      <w:pPr>
        <w:tabs>
          <w:tab w:val="clear" w:pos="864"/>
          <w:tab w:val="clear" w:pos="1728"/>
        </w:tabs>
        <w:spacing w:after="120" w:line="269" w:lineRule="auto"/>
        <w:rPr>
          <w:rFonts w:cs="Arial"/>
          <w:szCs w:val="22"/>
        </w:rPr>
      </w:pPr>
      <w:r>
        <w:rPr>
          <w:rFonts w:cs="Arial"/>
          <w:szCs w:val="22"/>
        </w:rPr>
        <w:t xml:space="preserve">GRV properties were revalued in 2017 and are effective from 1 July 2018. </w:t>
      </w:r>
      <w:r w:rsidR="00611BDB" w:rsidRPr="00FF08B6">
        <w:rPr>
          <w:rFonts w:cs="Arial"/>
          <w:szCs w:val="22"/>
        </w:rPr>
        <w:t xml:space="preserve">The next full revaluation of GRV properties is scheduled to be applicable from 1 July </w:t>
      </w:r>
      <w:r w:rsidR="00AD5F07" w:rsidRPr="00FF08B6">
        <w:rPr>
          <w:rFonts w:cs="Arial"/>
          <w:szCs w:val="22"/>
        </w:rPr>
        <w:t>20</w:t>
      </w:r>
      <w:r w:rsidR="00342D2E">
        <w:rPr>
          <w:rFonts w:cs="Arial"/>
          <w:szCs w:val="22"/>
        </w:rPr>
        <w:t>21</w:t>
      </w:r>
      <w:r w:rsidR="00611BDB" w:rsidRPr="003B7E3F">
        <w:rPr>
          <w:rFonts w:cs="Arial"/>
          <w:szCs w:val="22"/>
        </w:rPr>
        <w:t>.</w:t>
      </w:r>
    </w:p>
    <w:p w:rsidR="00C339A0" w:rsidRDefault="00C339A0" w:rsidP="00783CAE">
      <w:pPr>
        <w:tabs>
          <w:tab w:val="clear" w:pos="864"/>
          <w:tab w:val="clear" w:pos="1728"/>
        </w:tabs>
        <w:spacing w:line="269" w:lineRule="auto"/>
        <w:rPr>
          <w:rFonts w:cs="Arial"/>
          <w:b/>
          <w:i/>
          <w:color w:val="3A6097"/>
          <w:szCs w:val="22"/>
        </w:rPr>
      </w:pPr>
    </w:p>
    <w:p w:rsidR="00FA18A4" w:rsidRDefault="00FA18A4" w:rsidP="00783CAE">
      <w:pPr>
        <w:tabs>
          <w:tab w:val="clear" w:pos="864"/>
          <w:tab w:val="clear" w:pos="1728"/>
        </w:tabs>
        <w:spacing w:line="269" w:lineRule="auto"/>
        <w:rPr>
          <w:rFonts w:cs="Arial"/>
          <w:b/>
          <w:i/>
          <w:color w:val="3A6097"/>
          <w:szCs w:val="22"/>
        </w:rPr>
      </w:pPr>
      <w:r>
        <w:rPr>
          <w:rFonts w:cs="Arial"/>
          <w:b/>
          <w:i/>
          <w:color w:val="3A6097"/>
          <w:szCs w:val="22"/>
        </w:rPr>
        <w:t>Key Values</w:t>
      </w:r>
    </w:p>
    <w:p w:rsidR="00FA18A4" w:rsidRDefault="00FA18A4" w:rsidP="00783CAE">
      <w:pPr>
        <w:tabs>
          <w:tab w:val="clear" w:pos="864"/>
          <w:tab w:val="clear" w:pos="1728"/>
        </w:tabs>
        <w:spacing w:line="269" w:lineRule="auto"/>
        <w:rPr>
          <w:rFonts w:cs="Arial"/>
          <w:szCs w:val="22"/>
        </w:rPr>
      </w:pPr>
      <w:r w:rsidRPr="00FA18A4">
        <w:rPr>
          <w:rFonts w:cs="Arial"/>
          <w:szCs w:val="22"/>
        </w:rPr>
        <w:t xml:space="preserve">Council has considered </w:t>
      </w:r>
      <w:r>
        <w:rPr>
          <w:rFonts w:cs="Arial"/>
          <w:szCs w:val="22"/>
        </w:rPr>
        <w:t>the Key Values contained within the Rating Policy Differential Rates (s.6.33) March 2016 released by the Department of Local Government, Sport and Cultural Industries, being:</w:t>
      </w:r>
    </w:p>
    <w:p w:rsidR="00FA18A4" w:rsidRDefault="00FA18A4" w:rsidP="00783CAE">
      <w:pPr>
        <w:tabs>
          <w:tab w:val="clear" w:pos="864"/>
          <w:tab w:val="clear" w:pos="1728"/>
        </w:tabs>
        <w:spacing w:line="269" w:lineRule="auto"/>
        <w:rPr>
          <w:rFonts w:cs="Arial"/>
          <w:szCs w:val="22"/>
        </w:rPr>
      </w:pPr>
    </w:p>
    <w:p w:rsidR="00FA18A4" w:rsidRDefault="00FA18A4" w:rsidP="00FA18A4">
      <w:pPr>
        <w:pStyle w:val="ListParagraph"/>
        <w:numPr>
          <w:ilvl w:val="0"/>
          <w:numId w:val="36"/>
        </w:numPr>
        <w:tabs>
          <w:tab w:val="clear" w:pos="864"/>
          <w:tab w:val="clear" w:pos="1728"/>
        </w:tabs>
        <w:spacing w:line="269" w:lineRule="auto"/>
        <w:rPr>
          <w:rFonts w:cs="Arial"/>
          <w:szCs w:val="22"/>
        </w:rPr>
      </w:pPr>
      <w:r w:rsidRPr="00FA18A4">
        <w:rPr>
          <w:rFonts w:cs="Arial"/>
          <w:szCs w:val="22"/>
        </w:rPr>
        <w:t xml:space="preserve">Objectivity </w:t>
      </w:r>
    </w:p>
    <w:p w:rsidR="00FA18A4" w:rsidRDefault="00FA18A4" w:rsidP="00FA18A4">
      <w:pPr>
        <w:pStyle w:val="ListParagraph"/>
        <w:numPr>
          <w:ilvl w:val="0"/>
          <w:numId w:val="36"/>
        </w:numPr>
        <w:tabs>
          <w:tab w:val="clear" w:pos="864"/>
          <w:tab w:val="clear" w:pos="1728"/>
        </w:tabs>
        <w:spacing w:line="269" w:lineRule="auto"/>
        <w:rPr>
          <w:rFonts w:cs="Arial"/>
          <w:szCs w:val="22"/>
        </w:rPr>
      </w:pPr>
      <w:r>
        <w:rPr>
          <w:rFonts w:cs="Arial"/>
          <w:szCs w:val="22"/>
        </w:rPr>
        <w:t>Fairness and Objectivity</w:t>
      </w:r>
    </w:p>
    <w:p w:rsidR="00FA18A4" w:rsidRDefault="00FA18A4" w:rsidP="00FA18A4">
      <w:pPr>
        <w:pStyle w:val="ListParagraph"/>
        <w:numPr>
          <w:ilvl w:val="0"/>
          <w:numId w:val="36"/>
        </w:numPr>
        <w:tabs>
          <w:tab w:val="clear" w:pos="864"/>
          <w:tab w:val="clear" w:pos="1728"/>
        </w:tabs>
        <w:spacing w:line="269" w:lineRule="auto"/>
        <w:rPr>
          <w:rFonts w:cs="Arial"/>
          <w:szCs w:val="22"/>
        </w:rPr>
      </w:pPr>
      <w:r>
        <w:rPr>
          <w:rFonts w:cs="Arial"/>
          <w:szCs w:val="22"/>
        </w:rPr>
        <w:t>Consistency</w:t>
      </w:r>
    </w:p>
    <w:p w:rsidR="00FA18A4" w:rsidRDefault="00FA18A4" w:rsidP="00FA18A4">
      <w:pPr>
        <w:pStyle w:val="ListParagraph"/>
        <w:numPr>
          <w:ilvl w:val="0"/>
          <w:numId w:val="36"/>
        </w:numPr>
        <w:tabs>
          <w:tab w:val="clear" w:pos="864"/>
          <w:tab w:val="clear" w:pos="1728"/>
        </w:tabs>
        <w:spacing w:line="269" w:lineRule="auto"/>
        <w:rPr>
          <w:rFonts w:cs="Arial"/>
          <w:szCs w:val="22"/>
        </w:rPr>
      </w:pPr>
      <w:r>
        <w:rPr>
          <w:rFonts w:cs="Arial"/>
          <w:szCs w:val="22"/>
        </w:rPr>
        <w:t>Transparency and Administrative Efficiency</w:t>
      </w:r>
    </w:p>
    <w:p w:rsidR="00FA18A4" w:rsidRDefault="00FA18A4" w:rsidP="00FA18A4">
      <w:pPr>
        <w:tabs>
          <w:tab w:val="clear" w:pos="864"/>
          <w:tab w:val="clear" w:pos="1728"/>
        </w:tabs>
        <w:spacing w:line="269" w:lineRule="auto"/>
        <w:rPr>
          <w:rFonts w:cs="Arial"/>
          <w:szCs w:val="22"/>
        </w:rPr>
      </w:pPr>
    </w:p>
    <w:p w:rsidR="00FA18A4" w:rsidRDefault="00FA18A4" w:rsidP="00FA18A4">
      <w:pPr>
        <w:tabs>
          <w:tab w:val="clear" w:pos="864"/>
          <w:tab w:val="clear" w:pos="1728"/>
        </w:tabs>
        <w:spacing w:line="269" w:lineRule="auto"/>
        <w:rPr>
          <w:rFonts w:cs="Arial"/>
          <w:szCs w:val="22"/>
        </w:rPr>
      </w:pPr>
      <w:r>
        <w:rPr>
          <w:rFonts w:cs="Arial"/>
          <w:szCs w:val="22"/>
        </w:rPr>
        <w:t>A copy of the policy can be obtained from:</w:t>
      </w:r>
    </w:p>
    <w:p w:rsidR="00FA18A4" w:rsidRDefault="00FA18A4" w:rsidP="00FA18A4">
      <w:pPr>
        <w:tabs>
          <w:tab w:val="clear" w:pos="864"/>
          <w:tab w:val="clear" w:pos="1728"/>
        </w:tabs>
        <w:spacing w:line="269" w:lineRule="auto"/>
        <w:rPr>
          <w:rFonts w:cs="Arial"/>
          <w:szCs w:val="22"/>
        </w:rPr>
      </w:pPr>
    </w:p>
    <w:p w:rsidR="00FA18A4" w:rsidRPr="00E74F05" w:rsidRDefault="0024505A" w:rsidP="00FA18A4">
      <w:pPr>
        <w:tabs>
          <w:tab w:val="clear" w:pos="864"/>
          <w:tab w:val="clear" w:pos="1728"/>
        </w:tabs>
        <w:spacing w:line="269" w:lineRule="auto"/>
        <w:rPr>
          <w:rFonts w:cs="Arial"/>
          <w:sz w:val="20"/>
          <w:szCs w:val="22"/>
        </w:rPr>
      </w:pPr>
      <w:hyperlink r:id="rId10" w:history="1">
        <w:r w:rsidR="00FA18A4" w:rsidRPr="00E74F05">
          <w:rPr>
            <w:rStyle w:val="Hyperlink"/>
            <w:rFonts w:cs="Arial"/>
            <w:sz w:val="20"/>
            <w:szCs w:val="22"/>
          </w:rPr>
          <w:t>https://www.dlgsc.wa.gov.au/resources/publications/Pages/ViewPublication.aspx?DocID=558</w:t>
        </w:r>
      </w:hyperlink>
    </w:p>
    <w:p w:rsidR="00FA18A4" w:rsidRPr="00FA18A4" w:rsidRDefault="00FA18A4" w:rsidP="00FA18A4">
      <w:pPr>
        <w:tabs>
          <w:tab w:val="clear" w:pos="864"/>
          <w:tab w:val="clear" w:pos="1728"/>
        </w:tabs>
        <w:spacing w:line="269" w:lineRule="auto"/>
        <w:rPr>
          <w:rFonts w:cs="Arial"/>
          <w:szCs w:val="22"/>
        </w:rPr>
      </w:pPr>
    </w:p>
    <w:p w:rsidR="00FA18A4" w:rsidRPr="00FA18A4" w:rsidRDefault="00FA18A4" w:rsidP="00783CAE">
      <w:pPr>
        <w:tabs>
          <w:tab w:val="clear" w:pos="864"/>
          <w:tab w:val="clear" w:pos="1728"/>
        </w:tabs>
        <w:spacing w:line="269" w:lineRule="auto"/>
        <w:rPr>
          <w:rFonts w:cs="Arial"/>
          <w:szCs w:val="22"/>
        </w:rPr>
      </w:pPr>
    </w:p>
    <w:p w:rsidR="00C339A0" w:rsidRDefault="00C339A0" w:rsidP="00783CAE">
      <w:pPr>
        <w:tabs>
          <w:tab w:val="clear" w:pos="864"/>
          <w:tab w:val="clear" w:pos="1728"/>
        </w:tabs>
        <w:spacing w:line="269" w:lineRule="auto"/>
        <w:rPr>
          <w:rFonts w:cs="Arial"/>
          <w:b/>
          <w:i/>
          <w:color w:val="3A6097"/>
          <w:szCs w:val="22"/>
        </w:rPr>
      </w:pPr>
    </w:p>
    <w:p w:rsidR="00C339A0" w:rsidRDefault="00C339A0" w:rsidP="00783CAE">
      <w:pPr>
        <w:tabs>
          <w:tab w:val="clear" w:pos="864"/>
          <w:tab w:val="clear" w:pos="1728"/>
        </w:tabs>
        <w:spacing w:line="269" w:lineRule="auto"/>
        <w:rPr>
          <w:rFonts w:cs="Arial"/>
          <w:b/>
          <w:i/>
          <w:color w:val="3A6097"/>
          <w:szCs w:val="22"/>
        </w:rPr>
      </w:pPr>
    </w:p>
    <w:p w:rsidR="00C339A0" w:rsidRDefault="00C339A0" w:rsidP="00783CAE">
      <w:pPr>
        <w:tabs>
          <w:tab w:val="clear" w:pos="864"/>
          <w:tab w:val="clear" w:pos="1728"/>
        </w:tabs>
        <w:spacing w:line="269" w:lineRule="auto"/>
        <w:rPr>
          <w:rFonts w:cs="Arial"/>
          <w:b/>
          <w:i/>
          <w:color w:val="3A6097"/>
          <w:szCs w:val="22"/>
        </w:rPr>
      </w:pPr>
    </w:p>
    <w:p w:rsidR="00C339A0" w:rsidRPr="003B7E3F" w:rsidRDefault="00C339A0" w:rsidP="00C339A0">
      <w:pPr>
        <w:pStyle w:val="Heading3"/>
        <w:tabs>
          <w:tab w:val="left" w:pos="851"/>
        </w:tabs>
        <w:spacing w:after="120" w:line="269" w:lineRule="auto"/>
        <w:rPr>
          <w:rFonts w:ascii="Arial" w:hAnsi="Arial"/>
          <w:bCs w:val="0"/>
          <w:i w:val="0"/>
          <w:spacing w:val="0"/>
          <w:sz w:val="24"/>
          <w:szCs w:val="22"/>
          <w:lang w:eastAsia="en-US"/>
        </w:rPr>
      </w:pPr>
      <w:r w:rsidRPr="003B7E3F">
        <w:rPr>
          <w:rFonts w:ascii="Arial" w:hAnsi="Arial"/>
          <w:bCs w:val="0"/>
          <w:i w:val="0"/>
          <w:spacing w:val="0"/>
          <w:sz w:val="24"/>
          <w:szCs w:val="22"/>
          <w:lang w:eastAsia="en-US"/>
        </w:rPr>
        <w:t xml:space="preserve">SUPPORTING STATEMENT OF RATING INFORMATION </w:t>
      </w:r>
      <w:r>
        <w:rPr>
          <w:rFonts w:ascii="Arial" w:hAnsi="Arial"/>
          <w:bCs w:val="0"/>
          <w:i w:val="0"/>
          <w:spacing w:val="0"/>
          <w:sz w:val="24"/>
          <w:szCs w:val="22"/>
          <w:lang w:eastAsia="en-US"/>
        </w:rPr>
        <w:t>2018/19</w:t>
      </w:r>
      <w:r w:rsidRPr="003B7E3F">
        <w:rPr>
          <w:rFonts w:ascii="Arial" w:hAnsi="Arial"/>
          <w:bCs w:val="0"/>
          <w:i w:val="0"/>
          <w:spacing w:val="0"/>
          <w:sz w:val="24"/>
          <w:szCs w:val="22"/>
          <w:lang w:eastAsia="en-US"/>
        </w:rPr>
        <w:t xml:space="preserve"> (Continued)</w:t>
      </w:r>
    </w:p>
    <w:p w:rsidR="00C339A0" w:rsidRDefault="00C339A0" w:rsidP="00783CAE">
      <w:pPr>
        <w:tabs>
          <w:tab w:val="clear" w:pos="864"/>
          <w:tab w:val="clear" w:pos="1728"/>
        </w:tabs>
        <w:spacing w:line="269" w:lineRule="auto"/>
        <w:rPr>
          <w:rFonts w:cs="Arial"/>
          <w:b/>
          <w:i/>
          <w:color w:val="3A6097"/>
          <w:szCs w:val="22"/>
        </w:rPr>
      </w:pPr>
    </w:p>
    <w:p w:rsidR="00C339A0" w:rsidRDefault="00153324" w:rsidP="00783CAE">
      <w:pPr>
        <w:tabs>
          <w:tab w:val="clear" w:pos="864"/>
          <w:tab w:val="clear" w:pos="1728"/>
        </w:tabs>
        <w:spacing w:line="269" w:lineRule="auto"/>
        <w:rPr>
          <w:rFonts w:cs="Arial"/>
          <w:b/>
          <w:i/>
          <w:color w:val="3A6097"/>
          <w:szCs w:val="22"/>
        </w:rPr>
      </w:pPr>
      <w:r>
        <w:rPr>
          <w:rFonts w:cs="Arial"/>
          <w:b/>
          <w:i/>
          <w:color w:val="3A6097"/>
          <w:szCs w:val="22"/>
        </w:rPr>
        <w:t>Councils Overall</w:t>
      </w:r>
      <w:r w:rsidR="00C339A0">
        <w:rPr>
          <w:rFonts w:cs="Arial"/>
          <w:b/>
          <w:i/>
          <w:color w:val="3A6097"/>
          <w:szCs w:val="22"/>
        </w:rPr>
        <w:t xml:space="preserve"> Objective </w:t>
      </w:r>
    </w:p>
    <w:p w:rsidR="00E74F05" w:rsidRDefault="00FA18A4" w:rsidP="00FA18A4">
      <w:pPr>
        <w:ind w:right="-330"/>
        <w:rPr>
          <w:rFonts w:cs="Arial"/>
          <w:color w:val="000000"/>
          <w:lang w:val="en-US"/>
        </w:rPr>
      </w:pPr>
      <w:r>
        <w:rPr>
          <w:rFonts w:cs="Arial"/>
          <w:color w:val="000000"/>
          <w:lang w:val="en-US"/>
        </w:rPr>
        <w:t xml:space="preserve">Councils Long Term Financial Plan </w:t>
      </w:r>
      <w:r w:rsidR="00153324">
        <w:rPr>
          <w:rFonts w:cs="Arial"/>
          <w:color w:val="000000"/>
          <w:lang w:val="en-US"/>
        </w:rPr>
        <w:t xml:space="preserve">(LTFP) </w:t>
      </w:r>
      <w:r>
        <w:rPr>
          <w:rFonts w:cs="Arial"/>
          <w:color w:val="000000"/>
          <w:lang w:val="en-US"/>
        </w:rPr>
        <w:t xml:space="preserve">aims for a smooth and predictable approach when </w:t>
      </w:r>
      <w:r w:rsidR="00615396">
        <w:rPr>
          <w:rFonts w:cs="Arial"/>
          <w:color w:val="000000"/>
          <w:lang w:val="en-US"/>
        </w:rPr>
        <w:t>generating</w:t>
      </w:r>
      <w:r>
        <w:rPr>
          <w:rFonts w:cs="Arial"/>
          <w:color w:val="000000"/>
          <w:lang w:val="en-US"/>
        </w:rPr>
        <w:t xml:space="preserve"> rates revenue. </w:t>
      </w:r>
      <w:r w:rsidR="00615396">
        <w:rPr>
          <w:rFonts w:cs="Arial"/>
          <w:color w:val="000000"/>
          <w:lang w:val="en-US"/>
        </w:rPr>
        <w:t xml:space="preserve">This ensures Council can deliver and maintain the Shire’s infrastructure and services for the community. </w:t>
      </w:r>
    </w:p>
    <w:p w:rsidR="00E74F05" w:rsidRDefault="00E74F05" w:rsidP="00FA18A4">
      <w:pPr>
        <w:ind w:right="-330"/>
        <w:rPr>
          <w:rFonts w:cs="Arial"/>
          <w:color w:val="000000"/>
          <w:lang w:val="en-US"/>
        </w:rPr>
      </w:pPr>
    </w:p>
    <w:p w:rsidR="00E74F05" w:rsidRDefault="00E74F05" w:rsidP="00FA18A4">
      <w:pPr>
        <w:ind w:right="-330"/>
        <w:rPr>
          <w:rFonts w:cs="Arial"/>
          <w:color w:val="000000"/>
          <w:lang w:val="en-US"/>
        </w:rPr>
      </w:pPr>
      <w:r>
        <w:rPr>
          <w:rFonts w:cs="Arial"/>
          <w:color w:val="000000"/>
          <w:lang w:val="en-US"/>
        </w:rPr>
        <w:t>The rate in the dollar applied to the valuations to determine property rates reflects a 2% increase in rate yield to facilitate Council’s objective of raising a total of $35 million in rates. This approach is consistent with Council’s LTFP.</w:t>
      </w:r>
    </w:p>
    <w:p w:rsidR="00E74F05" w:rsidRDefault="00E74F05" w:rsidP="00FA18A4">
      <w:pPr>
        <w:ind w:right="-330"/>
        <w:rPr>
          <w:rFonts w:cs="Arial"/>
          <w:color w:val="000000"/>
          <w:lang w:val="en-US"/>
        </w:rPr>
      </w:pPr>
    </w:p>
    <w:p w:rsidR="00153324" w:rsidRDefault="00E74F05" w:rsidP="00FA18A4">
      <w:pPr>
        <w:ind w:right="-330"/>
        <w:rPr>
          <w:rFonts w:cs="Arial"/>
          <w:color w:val="000000"/>
          <w:lang w:val="en-US"/>
        </w:rPr>
      </w:pPr>
      <w:r>
        <w:rPr>
          <w:rFonts w:cs="Arial"/>
          <w:color w:val="000000"/>
          <w:lang w:val="en-US"/>
        </w:rPr>
        <w:t xml:space="preserve">Council has reviewed its operations including revenue and expenditure items and considered efficiency measures </w:t>
      </w:r>
      <w:r w:rsidR="00153324">
        <w:rPr>
          <w:rFonts w:cs="Arial"/>
          <w:color w:val="000000"/>
          <w:lang w:val="en-US"/>
        </w:rPr>
        <w:t xml:space="preserve">and service and infrastructure improvements </w:t>
      </w:r>
      <w:r>
        <w:rPr>
          <w:rFonts w:cs="Arial"/>
          <w:color w:val="000000"/>
          <w:lang w:val="en-US"/>
        </w:rPr>
        <w:t>as part of its L</w:t>
      </w:r>
      <w:r w:rsidR="00153324">
        <w:rPr>
          <w:rFonts w:cs="Arial"/>
          <w:color w:val="000000"/>
          <w:lang w:val="en-US"/>
        </w:rPr>
        <w:t>TFP</w:t>
      </w:r>
      <w:r>
        <w:rPr>
          <w:rFonts w:cs="Arial"/>
          <w:color w:val="000000"/>
          <w:lang w:val="en-US"/>
        </w:rPr>
        <w:t xml:space="preserve"> and </w:t>
      </w:r>
      <w:r w:rsidR="00153324">
        <w:rPr>
          <w:rFonts w:cs="Arial"/>
          <w:color w:val="000000"/>
          <w:lang w:val="en-US"/>
        </w:rPr>
        <w:t>B</w:t>
      </w:r>
      <w:r>
        <w:rPr>
          <w:rFonts w:cs="Arial"/>
          <w:color w:val="000000"/>
          <w:lang w:val="en-US"/>
        </w:rPr>
        <w:t xml:space="preserve">udget deliberations. </w:t>
      </w:r>
    </w:p>
    <w:p w:rsidR="00153324" w:rsidRDefault="00153324" w:rsidP="00FA18A4">
      <w:pPr>
        <w:ind w:right="-330"/>
        <w:rPr>
          <w:rFonts w:cs="Arial"/>
          <w:color w:val="000000"/>
          <w:lang w:val="en-US"/>
        </w:rPr>
      </w:pPr>
    </w:p>
    <w:p w:rsidR="00E74F05" w:rsidRDefault="00E74F05" w:rsidP="00FA18A4">
      <w:pPr>
        <w:ind w:right="-330"/>
        <w:rPr>
          <w:rFonts w:cs="Arial"/>
          <w:color w:val="000000"/>
          <w:lang w:val="en-US"/>
        </w:rPr>
      </w:pPr>
      <w:r>
        <w:rPr>
          <w:rFonts w:cs="Arial"/>
          <w:color w:val="000000"/>
          <w:lang w:val="en-US"/>
        </w:rPr>
        <w:t xml:space="preserve">These </w:t>
      </w:r>
      <w:r w:rsidR="00153324">
        <w:rPr>
          <w:rFonts w:cs="Arial"/>
          <w:color w:val="000000"/>
          <w:lang w:val="en-US"/>
        </w:rPr>
        <w:t xml:space="preserve">efficiency measures and service and infrastructure improvements </w:t>
      </w:r>
      <w:r>
        <w:rPr>
          <w:rFonts w:cs="Arial"/>
          <w:color w:val="000000"/>
          <w:lang w:val="en-US"/>
        </w:rPr>
        <w:t>include:</w:t>
      </w:r>
    </w:p>
    <w:p w:rsidR="00E74F05" w:rsidRDefault="00E74F05" w:rsidP="00FA18A4">
      <w:pPr>
        <w:ind w:right="-330"/>
        <w:rPr>
          <w:rFonts w:cs="Arial"/>
          <w:color w:val="000000"/>
          <w:lang w:val="en-US"/>
        </w:rPr>
      </w:pP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 xml:space="preserve">2018 </w:t>
      </w:r>
      <w:r w:rsidRPr="00264077">
        <w:rPr>
          <w:rFonts w:cs="Arial"/>
          <w:color w:val="000000"/>
          <w:lang w:val="en-US"/>
        </w:rPr>
        <w:t>Workforce Plan update</w:t>
      </w:r>
      <w:r>
        <w:rPr>
          <w:rFonts w:cs="Arial"/>
          <w:color w:val="000000"/>
          <w:lang w:val="en-US"/>
        </w:rPr>
        <w:t>d to align with Integrated Planning and Reporting Framework;</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Reductions in consultancy costs;</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Reductions in learning and development costs;</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Extending utility of plant and equipment by deferring replacements;</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Policy reviews including improvements to purchasing practices, quality of investments and use of internal directives;</w:t>
      </w:r>
    </w:p>
    <w:p w:rsidR="00E74F05" w:rsidRPr="00A5200C"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Engagement with local suppliers;</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Implementation of new processes and procedures improving internal controls;</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Independent review of Shire’s Governance and Health;</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Development of comprehensive Asset Management Plans;</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Development and implementation of staff housing policy;</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Preparation and application to Minister of change to method of valuation for Transient Workforce Accommodation;</w:t>
      </w:r>
    </w:p>
    <w:p w:rsidR="00E74F05" w:rsidRPr="00652A36"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Implementation of better processes to track electricity costs with contractual third parties;</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Upgrades to Waste facilities including new weighbridge, landfill cells and onsite plant;</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Improvement to Airport Runway and facilities;</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Construction of Airport Hanger;</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Upgrade to pools to improve safety and service levels;</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Upgrades to sports facilities including bowling clubs, tennis and squash courts, cricket pitches, BBQ’s and playgrounds;</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Additional rest stops for trucks;</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Enhancements to tourist attractions including information bays;</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Renovations to senior citizens units;</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Underground Power installation to town-site;</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Town-site lighting upgrade;</w:t>
      </w:r>
    </w:p>
    <w:p w:rsidR="00E74F05" w:rsidRDefault="00E74F05" w:rsidP="00E74F05">
      <w:pPr>
        <w:pStyle w:val="ListParagraph"/>
        <w:numPr>
          <w:ilvl w:val="0"/>
          <w:numId w:val="37"/>
        </w:numPr>
        <w:tabs>
          <w:tab w:val="clear" w:pos="864"/>
          <w:tab w:val="clear" w:pos="1728"/>
        </w:tabs>
        <w:ind w:right="-330"/>
        <w:rPr>
          <w:rFonts w:cs="Arial"/>
          <w:color w:val="000000"/>
          <w:lang w:val="en-US"/>
        </w:rPr>
      </w:pPr>
      <w:r>
        <w:rPr>
          <w:rFonts w:cs="Arial"/>
          <w:color w:val="000000"/>
          <w:lang w:val="en-US"/>
        </w:rPr>
        <w:t>Town-site shade structure upgrade; and</w:t>
      </w:r>
    </w:p>
    <w:p w:rsidR="00E74F05" w:rsidRPr="00592ECE" w:rsidRDefault="00E74F05" w:rsidP="00E74F05">
      <w:pPr>
        <w:pStyle w:val="ListParagraph"/>
        <w:numPr>
          <w:ilvl w:val="0"/>
          <w:numId w:val="37"/>
        </w:numPr>
        <w:tabs>
          <w:tab w:val="clear" w:pos="864"/>
          <w:tab w:val="clear" w:pos="1728"/>
        </w:tabs>
        <w:ind w:right="-330"/>
        <w:rPr>
          <w:rFonts w:cs="Arial"/>
          <w:color w:val="000000"/>
          <w:lang w:val="en-US"/>
        </w:rPr>
      </w:pPr>
      <w:r w:rsidRPr="00592ECE">
        <w:rPr>
          <w:rFonts w:cs="Arial"/>
          <w:color w:val="000000"/>
          <w:lang w:val="en-US"/>
        </w:rPr>
        <w:t xml:space="preserve">Road </w:t>
      </w:r>
      <w:r>
        <w:rPr>
          <w:rFonts w:cs="Arial"/>
          <w:color w:val="000000"/>
          <w:lang w:val="en-US"/>
        </w:rPr>
        <w:t xml:space="preserve">works and </w:t>
      </w:r>
      <w:r w:rsidRPr="00592ECE">
        <w:rPr>
          <w:rFonts w:cs="Arial"/>
          <w:color w:val="000000"/>
          <w:lang w:val="en-US"/>
        </w:rPr>
        <w:t>maintenance including installation of road signage and traffic control devices.</w:t>
      </w:r>
    </w:p>
    <w:p w:rsidR="00FA18A4" w:rsidRDefault="00E74F05" w:rsidP="00FA18A4">
      <w:pPr>
        <w:ind w:right="-330"/>
        <w:rPr>
          <w:rFonts w:cs="Arial"/>
          <w:color w:val="000000"/>
          <w:lang w:val="en-US"/>
        </w:rPr>
      </w:pPr>
      <w:r>
        <w:rPr>
          <w:rFonts w:cs="Arial"/>
          <w:color w:val="000000"/>
          <w:lang w:val="en-US"/>
        </w:rPr>
        <w:t xml:space="preserve">  </w:t>
      </w:r>
      <w:r w:rsidR="00615396">
        <w:rPr>
          <w:rFonts w:cs="Arial"/>
          <w:color w:val="000000"/>
          <w:lang w:val="en-US"/>
        </w:rPr>
        <w:t xml:space="preserve">  </w:t>
      </w:r>
    </w:p>
    <w:p w:rsidR="00FA18A4" w:rsidRDefault="00FA18A4" w:rsidP="00783CAE">
      <w:pPr>
        <w:tabs>
          <w:tab w:val="clear" w:pos="864"/>
          <w:tab w:val="clear" w:pos="1728"/>
        </w:tabs>
        <w:spacing w:line="269" w:lineRule="auto"/>
        <w:rPr>
          <w:rFonts w:cs="Arial"/>
          <w:szCs w:val="22"/>
        </w:rPr>
      </w:pPr>
      <w:r w:rsidRPr="00FA18A4">
        <w:rPr>
          <w:rFonts w:cs="Arial"/>
          <w:szCs w:val="22"/>
        </w:rPr>
        <w:t xml:space="preserve"> </w:t>
      </w:r>
    </w:p>
    <w:p w:rsidR="00E74F05" w:rsidRDefault="00A33009" w:rsidP="00783CAE">
      <w:pPr>
        <w:tabs>
          <w:tab w:val="clear" w:pos="864"/>
          <w:tab w:val="clear" w:pos="1728"/>
        </w:tabs>
        <w:spacing w:line="269" w:lineRule="auto"/>
        <w:rPr>
          <w:rFonts w:cs="Arial"/>
          <w:szCs w:val="22"/>
        </w:rPr>
      </w:pPr>
      <w:r w:rsidRPr="00A33009">
        <w:rPr>
          <w:rFonts w:cs="Arial"/>
          <w:szCs w:val="22"/>
        </w:rPr>
        <w:t xml:space="preserve">Council </w:t>
      </w:r>
      <w:r>
        <w:rPr>
          <w:rFonts w:cs="Arial"/>
          <w:szCs w:val="22"/>
        </w:rPr>
        <w:t>values capacity and sustainability to deliver assets and services required by the business community with focus on roads, buildings and facilities maintenance and renewal as these provide strategic economic benefit to the district.</w:t>
      </w:r>
    </w:p>
    <w:p w:rsidR="00E74F05" w:rsidRDefault="00E74F05" w:rsidP="00783CAE">
      <w:pPr>
        <w:tabs>
          <w:tab w:val="clear" w:pos="864"/>
          <w:tab w:val="clear" w:pos="1728"/>
        </w:tabs>
        <w:spacing w:line="269" w:lineRule="auto"/>
        <w:rPr>
          <w:rFonts w:cs="Arial"/>
          <w:szCs w:val="22"/>
        </w:rPr>
      </w:pPr>
    </w:p>
    <w:p w:rsidR="00E74F05" w:rsidRDefault="00E74F05" w:rsidP="00783CAE">
      <w:pPr>
        <w:tabs>
          <w:tab w:val="clear" w:pos="864"/>
          <w:tab w:val="clear" w:pos="1728"/>
        </w:tabs>
        <w:spacing w:line="269" w:lineRule="auto"/>
        <w:rPr>
          <w:rFonts w:cs="Arial"/>
          <w:szCs w:val="22"/>
        </w:rPr>
      </w:pPr>
    </w:p>
    <w:p w:rsidR="00E74F05" w:rsidRDefault="00E74F05" w:rsidP="00783CAE">
      <w:pPr>
        <w:tabs>
          <w:tab w:val="clear" w:pos="864"/>
          <w:tab w:val="clear" w:pos="1728"/>
        </w:tabs>
        <w:spacing w:line="269" w:lineRule="auto"/>
        <w:rPr>
          <w:rFonts w:cs="Arial"/>
          <w:szCs w:val="22"/>
        </w:rPr>
      </w:pPr>
    </w:p>
    <w:p w:rsidR="00E74F05" w:rsidRPr="003B7E3F" w:rsidRDefault="00153324" w:rsidP="00E74F05">
      <w:pPr>
        <w:pStyle w:val="Heading3"/>
        <w:tabs>
          <w:tab w:val="left" w:pos="851"/>
        </w:tabs>
        <w:spacing w:after="120" w:line="269" w:lineRule="auto"/>
        <w:ind w:left="-142"/>
        <w:rPr>
          <w:rFonts w:ascii="Arial" w:hAnsi="Arial"/>
          <w:bCs w:val="0"/>
          <w:i w:val="0"/>
          <w:spacing w:val="0"/>
          <w:sz w:val="24"/>
          <w:szCs w:val="22"/>
          <w:lang w:eastAsia="en-US"/>
        </w:rPr>
      </w:pPr>
      <w:r>
        <w:rPr>
          <w:rFonts w:ascii="Arial" w:hAnsi="Arial"/>
          <w:bCs w:val="0"/>
          <w:i w:val="0"/>
          <w:spacing w:val="0"/>
          <w:sz w:val="24"/>
          <w:szCs w:val="22"/>
          <w:lang w:eastAsia="en-US"/>
        </w:rPr>
        <w:t xml:space="preserve">  </w:t>
      </w:r>
      <w:r w:rsidR="00E74F05" w:rsidRPr="003B7E3F">
        <w:rPr>
          <w:rFonts w:ascii="Arial" w:hAnsi="Arial"/>
          <w:bCs w:val="0"/>
          <w:i w:val="0"/>
          <w:spacing w:val="0"/>
          <w:sz w:val="24"/>
          <w:szCs w:val="22"/>
          <w:lang w:eastAsia="en-US"/>
        </w:rPr>
        <w:t xml:space="preserve">SUPPORTING STATEMENT OF RATING INFORMATION </w:t>
      </w:r>
      <w:r w:rsidR="00E74F05">
        <w:rPr>
          <w:rFonts w:ascii="Arial" w:hAnsi="Arial"/>
          <w:bCs w:val="0"/>
          <w:i w:val="0"/>
          <w:spacing w:val="0"/>
          <w:sz w:val="24"/>
          <w:szCs w:val="22"/>
          <w:lang w:eastAsia="en-US"/>
        </w:rPr>
        <w:t>2018/19</w:t>
      </w:r>
      <w:r w:rsidR="00E74F05" w:rsidRPr="003B7E3F">
        <w:rPr>
          <w:rFonts w:ascii="Arial" w:hAnsi="Arial"/>
          <w:bCs w:val="0"/>
          <w:i w:val="0"/>
          <w:spacing w:val="0"/>
          <w:sz w:val="24"/>
          <w:szCs w:val="22"/>
          <w:lang w:eastAsia="en-US"/>
        </w:rPr>
        <w:t xml:space="preserve"> (Continued)</w:t>
      </w:r>
    </w:p>
    <w:p w:rsidR="00C807EA" w:rsidRDefault="00C807EA" w:rsidP="00783CAE">
      <w:pPr>
        <w:tabs>
          <w:tab w:val="clear" w:pos="864"/>
          <w:tab w:val="clear" w:pos="1728"/>
        </w:tabs>
        <w:spacing w:line="269" w:lineRule="auto"/>
        <w:rPr>
          <w:rFonts w:cs="Arial"/>
          <w:b/>
          <w:i/>
          <w:color w:val="3A6097"/>
          <w:szCs w:val="22"/>
        </w:rPr>
      </w:pPr>
    </w:p>
    <w:p w:rsidR="00AD68FA" w:rsidRPr="003B7E3F" w:rsidRDefault="0010457B" w:rsidP="00783CAE">
      <w:pPr>
        <w:tabs>
          <w:tab w:val="clear" w:pos="864"/>
          <w:tab w:val="clear" w:pos="1728"/>
        </w:tabs>
        <w:spacing w:line="269" w:lineRule="auto"/>
        <w:rPr>
          <w:rFonts w:cs="Arial"/>
          <w:b/>
          <w:i/>
          <w:color w:val="3A6097"/>
          <w:szCs w:val="22"/>
        </w:rPr>
      </w:pPr>
      <w:r>
        <w:rPr>
          <w:rFonts w:cs="Arial"/>
          <w:b/>
          <w:i/>
          <w:color w:val="3A6097"/>
          <w:szCs w:val="22"/>
        </w:rPr>
        <w:t xml:space="preserve">Differential Rates – </w:t>
      </w:r>
      <w:r w:rsidR="00AD1526" w:rsidRPr="003B7E3F">
        <w:rPr>
          <w:rFonts w:cs="Arial"/>
          <w:b/>
          <w:i/>
          <w:color w:val="3A6097"/>
          <w:szCs w:val="22"/>
        </w:rPr>
        <w:t>G</w:t>
      </w:r>
      <w:r>
        <w:rPr>
          <w:rFonts w:cs="Arial"/>
          <w:b/>
          <w:i/>
          <w:color w:val="3A6097"/>
          <w:szCs w:val="22"/>
        </w:rPr>
        <w:t xml:space="preserve">ross </w:t>
      </w:r>
      <w:r w:rsidR="00441A3F" w:rsidRPr="003B7E3F">
        <w:rPr>
          <w:rFonts w:cs="Arial"/>
          <w:b/>
          <w:i/>
          <w:color w:val="3A6097"/>
          <w:szCs w:val="22"/>
        </w:rPr>
        <w:t>R</w:t>
      </w:r>
      <w:r>
        <w:rPr>
          <w:rFonts w:cs="Arial"/>
          <w:b/>
          <w:i/>
          <w:color w:val="3A6097"/>
          <w:szCs w:val="22"/>
        </w:rPr>
        <w:t xml:space="preserve">ental </w:t>
      </w:r>
      <w:r w:rsidR="00441A3F" w:rsidRPr="003B7E3F">
        <w:rPr>
          <w:rFonts w:cs="Arial"/>
          <w:b/>
          <w:i/>
          <w:color w:val="3A6097"/>
          <w:szCs w:val="22"/>
        </w:rPr>
        <w:t>V</w:t>
      </w:r>
      <w:r>
        <w:rPr>
          <w:rFonts w:cs="Arial"/>
          <w:b/>
          <w:i/>
          <w:color w:val="3A6097"/>
          <w:szCs w:val="22"/>
        </w:rPr>
        <w:t>alue (GRV)</w:t>
      </w:r>
    </w:p>
    <w:p w:rsidR="00AD68FA" w:rsidRDefault="00611BDB" w:rsidP="000F1C45">
      <w:pPr>
        <w:tabs>
          <w:tab w:val="clear" w:pos="864"/>
          <w:tab w:val="clear" w:pos="1728"/>
        </w:tabs>
        <w:spacing w:after="120" w:line="269" w:lineRule="auto"/>
        <w:rPr>
          <w:rFonts w:cs="Arial"/>
          <w:szCs w:val="22"/>
        </w:rPr>
      </w:pPr>
      <w:r w:rsidRPr="003B7E3F">
        <w:rPr>
          <w:rFonts w:cs="Arial"/>
          <w:szCs w:val="22"/>
        </w:rPr>
        <w:t xml:space="preserve">Council intends to adopt differential rating principles for GRV category properties </w:t>
      </w:r>
      <w:r w:rsidR="008932AA" w:rsidRPr="003B7E3F">
        <w:rPr>
          <w:rFonts w:cs="Arial"/>
          <w:szCs w:val="22"/>
        </w:rPr>
        <w:t>based upon the land use as follows:</w:t>
      </w:r>
    </w:p>
    <w:p w:rsidR="004626FD" w:rsidRDefault="004626FD" w:rsidP="000F1C45">
      <w:pPr>
        <w:tabs>
          <w:tab w:val="clear" w:pos="864"/>
          <w:tab w:val="clear" w:pos="1728"/>
        </w:tabs>
        <w:spacing w:after="120" w:line="269" w:lineRule="auto"/>
        <w:rPr>
          <w:rFonts w:cs="Arial"/>
          <w:szCs w:val="22"/>
        </w:rPr>
      </w:pPr>
    </w:p>
    <w:p w:rsidR="00AD68FA" w:rsidRPr="00AD68FA" w:rsidRDefault="00AD68FA" w:rsidP="000F1C45">
      <w:pPr>
        <w:tabs>
          <w:tab w:val="clear" w:pos="864"/>
          <w:tab w:val="clear" w:pos="1728"/>
        </w:tabs>
        <w:spacing w:after="120" w:line="269" w:lineRule="auto"/>
        <w:rPr>
          <w:rFonts w:cs="Arial"/>
          <w:b/>
          <w:i/>
          <w:color w:val="1F497D" w:themeColor="text2"/>
          <w:szCs w:val="22"/>
        </w:rPr>
      </w:pPr>
      <w:r w:rsidRPr="00AD68FA">
        <w:rPr>
          <w:rFonts w:cs="Arial"/>
          <w:b/>
          <w:i/>
          <w:color w:val="1F497D" w:themeColor="text2"/>
          <w:szCs w:val="22"/>
        </w:rPr>
        <w:t>GRV Commercial/Industrial</w:t>
      </w:r>
    </w:p>
    <w:tbl>
      <w:tblPr>
        <w:tblStyle w:val="TableGrid"/>
        <w:tblW w:w="9026" w:type="dxa"/>
        <w:tblInd w:w="-5" w:type="dxa"/>
        <w:tblLook w:val="04A0" w:firstRow="1" w:lastRow="0" w:firstColumn="1" w:lastColumn="0" w:noHBand="0" w:noVBand="1"/>
      </w:tblPr>
      <w:tblGrid>
        <w:gridCol w:w="2405"/>
        <w:gridCol w:w="1701"/>
        <w:gridCol w:w="3119"/>
        <w:gridCol w:w="1801"/>
      </w:tblGrid>
      <w:tr w:rsidR="00111116" w:rsidTr="00A40A52">
        <w:tc>
          <w:tcPr>
            <w:tcW w:w="2405" w:type="dxa"/>
          </w:tcPr>
          <w:p w:rsidR="00111116" w:rsidRPr="00A40A52" w:rsidRDefault="00111116" w:rsidP="00A40A52">
            <w:pPr>
              <w:tabs>
                <w:tab w:val="clear" w:pos="864"/>
                <w:tab w:val="clear" w:pos="1728"/>
              </w:tabs>
              <w:spacing w:before="240" w:after="120" w:line="269" w:lineRule="auto"/>
              <w:rPr>
                <w:rFonts w:cs="Arial"/>
                <w:b/>
                <w:sz w:val="18"/>
                <w:szCs w:val="18"/>
              </w:rPr>
            </w:pPr>
            <w:r w:rsidRPr="00A40A52">
              <w:rPr>
                <w:rFonts w:cs="Arial"/>
                <w:b/>
                <w:color w:val="1F497D" w:themeColor="text2"/>
                <w:sz w:val="18"/>
                <w:szCs w:val="18"/>
              </w:rPr>
              <w:t>DIFFERENTIAL RATE</w:t>
            </w:r>
          </w:p>
        </w:tc>
        <w:tc>
          <w:tcPr>
            <w:tcW w:w="1701" w:type="dxa"/>
          </w:tcPr>
          <w:p w:rsidR="00111116" w:rsidRPr="00A40A52" w:rsidRDefault="00111116" w:rsidP="00A40A52">
            <w:pPr>
              <w:tabs>
                <w:tab w:val="clear" w:pos="864"/>
                <w:tab w:val="clear" w:pos="1728"/>
              </w:tabs>
              <w:spacing w:before="240" w:after="120" w:line="269" w:lineRule="auto"/>
              <w:rPr>
                <w:rFonts w:cs="Arial"/>
                <w:b/>
                <w:sz w:val="18"/>
                <w:szCs w:val="18"/>
              </w:rPr>
            </w:pPr>
            <w:r w:rsidRPr="00A40A52">
              <w:rPr>
                <w:rFonts w:cs="Arial"/>
                <w:b/>
                <w:color w:val="1F497D" w:themeColor="text2"/>
                <w:sz w:val="18"/>
                <w:szCs w:val="18"/>
              </w:rPr>
              <w:t>RATE IN THE $</w:t>
            </w:r>
          </w:p>
        </w:tc>
        <w:tc>
          <w:tcPr>
            <w:tcW w:w="3119" w:type="dxa"/>
          </w:tcPr>
          <w:p w:rsidR="00111116" w:rsidRPr="00A40A52" w:rsidRDefault="00111116" w:rsidP="00A40A52">
            <w:pPr>
              <w:tabs>
                <w:tab w:val="clear" w:pos="864"/>
                <w:tab w:val="clear" w:pos="1728"/>
              </w:tabs>
              <w:spacing w:before="240" w:after="120" w:line="269" w:lineRule="auto"/>
              <w:rPr>
                <w:rFonts w:cs="Arial"/>
                <w:b/>
                <w:sz w:val="18"/>
                <w:szCs w:val="18"/>
              </w:rPr>
            </w:pPr>
            <w:r w:rsidRPr="00A40A52">
              <w:rPr>
                <w:rFonts w:cs="Arial"/>
                <w:b/>
                <w:color w:val="1F497D" w:themeColor="text2"/>
                <w:sz w:val="18"/>
                <w:szCs w:val="18"/>
              </w:rPr>
              <w:t>GENERAL MINIMUM PAYMENT $</w:t>
            </w:r>
          </w:p>
        </w:tc>
        <w:tc>
          <w:tcPr>
            <w:tcW w:w="1801" w:type="dxa"/>
          </w:tcPr>
          <w:p w:rsidR="00111116" w:rsidRPr="00A40A52" w:rsidRDefault="00A40A52" w:rsidP="00A40A52">
            <w:pPr>
              <w:tabs>
                <w:tab w:val="clear" w:pos="864"/>
                <w:tab w:val="clear" w:pos="1728"/>
              </w:tabs>
              <w:spacing w:before="240" w:after="120" w:line="269" w:lineRule="auto"/>
              <w:rPr>
                <w:rFonts w:cs="Arial"/>
                <w:b/>
                <w:szCs w:val="22"/>
              </w:rPr>
            </w:pPr>
            <w:r w:rsidRPr="00A40A52">
              <w:rPr>
                <w:rFonts w:cs="Arial"/>
                <w:b/>
                <w:color w:val="1F497D" w:themeColor="text2"/>
                <w:sz w:val="18"/>
                <w:szCs w:val="18"/>
              </w:rPr>
              <w:t>LESSER MINIMUM PAYMENT $</w:t>
            </w:r>
          </w:p>
        </w:tc>
      </w:tr>
      <w:tr w:rsidR="00111116" w:rsidTr="00A40A52">
        <w:tc>
          <w:tcPr>
            <w:tcW w:w="2405" w:type="dxa"/>
          </w:tcPr>
          <w:p w:rsidR="00111116" w:rsidRPr="00A40A52" w:rsidRDefault="00A40A52" w:rsidP="00A40A52">
            <w:pPr>
              <w:tabs>
                <w:tab w:val="clear" w:pos="864"/>
                <w:tab w:val="clear" w:pos="1728"/>
              </w:tabs>
              <w:spacing w:before="240" w:after="120" w:line="269" w:lineRule="auto"/>
              <w:jc w:val="center"/>
              <w:rPr>
                <w:rFonts w:cs="Arial"/>
                <w:sz w:val="18"/>
                <w:szCs w:val="18"/>
              </w:rPr>
            </w:pPr>
            <w:r w:rsidRPr="00A40A52">
              <w:rPr>
                <w:rFonts w:cs="Arial"/>
                <w:sz w:val="18"/>
                <w:szCs w:val="18"/>
              </w:rPr>
              <w:t>GRV Commercial/Industrial</w:t>
            </w:r>
          </w:p>
        </w:tc>
        <w:tc>
          <w:tcPr>
            <w:tcW w:w="1701" w:type="dxa"/>
          </w:tcPr>
          <w:p w:rsidR="00A40A52" w:rsidRPr="00A40A52" w:rsidRDefault="00A40A52" w:rsidP="004626FD">
            <w:pPr>
              <w:tabs>
                <w:tab w:val="clear" w:pos="864"/>
                <w:tab w:val="clear" w:pos="1728"/>
              </w:tabs>
              <w:spacing w:before="240" w:after="120" w:line="269" w:lineRule="auto"/>
              <w:jc w:val="center"/>
              <w:rPr>
                <w:rFonts w:cs="Arial"/>
                <w:sz w:val="18"/>
                <w:szCs w:val="18"/>
              </w:rPr>
            </w:pPr>
            <w:r w:rsidRPr="00A40A52">
              <w:rPr>
                <w:rFonts w:cs="Arial"/>
                <w:sz w:val="18"/>
                <w:szCs w:val="18"/>
              </w:rPr>
              <w:t>0.0</w:t>
            </w:r>
            <w:r w:rsidR="004626FD">
              <w:rPr>
                <w:rFonts w:cs="Arial"/>
                <w:sz w:val="18"/>
                <w:szCs w:val="18"/>
              </w:rPr>
              <w:t>64633</w:t>
            </w:r>
          </w:p>
        </w:tc>
        <w:tc>
          <w:tcPr>
            <w:tcW w:w="3119" w:type="dxa"/>
          </w:tcPr>
          <w:p w:rsidR="00111116" w:rsidRPr="00A40A52" w:rsidRDefault="00A40A52" w:rsidP="004626FD">
            <w:pPr>
              <w:tabs>
                <w:tab w:val="clear" w:pos="864"/>
                <w:tab w:val="clear" w:pos="1728"/>
              </w:tabs>
              <w:spacing w:before="240" w:after="120" w:line="269" w:lineRule="auto"/>
              <w:jc w:val="center"/>
              <w:rPr>
                <w:rFonts w:cs="Arial"/>
                <w:sz w:val="18"/>
                <w:szCs w:val="18"/>
              </w:rPr>
            </w:pPr>
            <w:r w:rsidRPr="00A40A52">
              <w:rPr>
                <w:rFonts w:cs="Arial"/>
                <w:sz w:val="18"/>
                <w:szCs w:val="18"/>
              </w:rPr>
              <w:t>1</w:t>
            </w:r>
            <w:r w:rsidR="004626FD">
              <w:rPr>
                <w:rFonts w:cs="Arial"/>
                <w:sz w:val="18"/>
                <w:szCs w:val="18"/>
              </w:rPr>
              <w:t>,150.00</w:t>
            </w:r>
          </w:p>
        </w:tc>
        <w:tc>
          <w:tcPr>
            <w:tcW w:w="1801" w:type="dxa"/>
          </w:tcPr>
          <w:p w:rsidR="00111116" w:rsidRPr="00A40A52" w:rsidRDefault="00A40A52" w:rsidP="00A40A52">
            <w:pPr>
              <w:tabs>
                <w:tab w:val="clear" w:pos="864"/>
                <w:tab w:val="clear" w:pos="1728"/>
              </w:tabs>
              <w:spacing w:before="240" w:after="120" w:line="269" w:lineRule="auto"/>
              <w:jc w:val="center"/>
              <w:rPr>
                <w:rFonts w:cs="Arial"/>
                <w:sz w:val="18"/>
                <w:szCs w:val="18"/>
              </w:rPr>
            </w:pPr>
            <w:r w:rsidRPr="00A40A52">
              <w:rPr>
                <w:rFonts w:cs="Arial"/>
                <w:sz w:val="18"/>
                <w:szCs w:val="18"/>
              </w:rPr>
              <w:t>N/A</w:t>
            </w:r>
          </w:p>
        </w:tc>
      </w:tr>
    </w:tbl>
    <w:p w:rsidR="00224FDA" w:rsidRDefault="00224FDA" w:rsidP="00310F1A">
      <w:pPr>
        <w:rPr>
          <w:rFonts w:cs="Arial"/>
          <w:szCs w:val="22"/>
        </w:rPr>
      </w:pPr>
    </w:p>
    <w:p w:rsidR="00AD68FA" w:rsidRDefault="00AD68FA" w:rsidP="00AD68FA">
      <w:pPr>
        <w:ind w:left="-142"/>
        <w:rPr>
          <w:rFonts w:cs="Arial"/>
          <w:szCs w:val="22"/>
        </w:rPr>
      </w:pPr>
    </w:p>
    <w:p w:rsidR="00AD68FA" w:rsidRPr="003B7E3F" w:rsidRDefault="00AD68FA" w:rsidP="00AD68FA">
      <w:pPr>
        <w:tabs>
          <w:tab w:val="clear" w:pos="864"/>
          <w:tab w:val="clear" w:pos="1728"/>
        </w:tabs>
        <w:spacing w:line="269" w:lineRule="auto"/>
        <w:ind w:left="-142"/>
        <w:rPr>
          <w:rFonts w:cs="Arial"/>
          <w:b/>
          <w:i/>
          <w:color w:val="3A6097"/>
          <w:szCs w:val="22"/>
        </w:rPr>
      </w:pPr>
      <w:r>
        <w:rPr>
          <w:rFonts w:cs="Arial"/>
          <w:b/>
          <w:i/>
          <w:color w:val="3A6097"/>
          <w:szCs w:val="22"/>
        </w:rPr>
        <w:t xml:space="preserve">Differential Rates – </w:t>
      </w:r>
      <w:r w:rsidRPr="003B7E3F">
        <w:rPr>
          <w:rFonts w:cs="Arial"/>
          <w:b/>
          <w:i/>
          <w:color w:val="3A6097"/>
          <w:szCs w:val="22"/>
        </w:rPr>
        <w:t>G</w:t>
      </w:r>
      <w:r>
        <w:rPr>
          <w:rFonts w:cs="Arial"/>
          <w:b/>
          <w:i/>
          <w:color w:val="3A6097"/>
          <w:szCs w:val="22"/>
        </w:rPr>
        <w:t xml:space="preserve">ross </w:t>
      </w:r>
      <w:r w:rsidRPr="003B7E3F">
        <w:rPr>
          <w:rFonts w:cs="Arial"/>
          <w:b/>
          <w:i/>
          <w:color w:val="3A6097"/>
          <w:szCs w:val="22"/>
        </w:rPr>
        <w:t>R</w:t>
      </w:r>
      <w:r>
        <w:rPr>
          <w:rFonts w:cs="Arial"/>
          <w:b/>
          <w:i/>
          <w:color w:val="3A6097"/>
          <w:szCs w:val="22"/>
        </w:rPr>
        <w:t xml:space="preserve">ental </w:t>
      </w:r>
      <w:r w:rsidRPr="003B7E3F">
        <w:rPr>
          <w:rFonts w:cs="Arial"/>
          <w:b/>
          <w:i/>
          <w:color w:val="3A6097"/>
          <w:szCs w:val="22"/>
        </w:rPr>
        <w:t>V</w:t>
      </w:r>
      <w:r>
        <w:rPr>
          <w:rFonts w:cs="Arial"/>
          <w:b/>
          <w:i/>
          <w:color w:val="3A6097"/>
          <w:szCs w:val="22"/>
        </w:rPr>
        <w:t>alue (GRV) (continued)</w:t>
      </w:r>
    </w:p>
    <w:p w:rsidR="007A0588" w:rsidRDefault="00224FDA" w:rsidP="00AD68FA">
      <w:pPr>
        <w:ind w:left="-142"/>
        <w:rPr>
          <w:rFonts w:cs="Arial"/>
          <w:b/>
          <w:szCs w:val="22"/>
        </w:rPr>
      </w:pPr>
      <w:r w:rsidRPr="003B7E3F">
        <w:rPr>
          <w:rFonts w:cs="Arial"/>
          <w:szCs w:val="22"/>
        </w:rPr>
        <w:t xml:space="preserve">This rate is applicable to properties that have a predominant land use of commercial or industrial, including Hotels, Shops, Restaurants and Offices and land is used for providing </w:t>
      </w:r>
      <w:r w:rsidR="00A40A52" w:rsidRPr="003B7E3F">
        <w:rPr>
          <w:rFonts w:cs="Arial"/>
          <w:szCs w:val="22"/>
        </w:rPr>
        <w:t>tourism service, including Roadhouses, Tourist Centres, Caravan Parks, Workers Accommodation, and Holiday Accommodation.</w:t>
      </w:r>
    </w:p>
    <w:p w:rsidR="007A0588" w:rsidRDefault="007A0588" w:rsidP="00AD68FA">
      <w:pPr>
        <w:ind w:left="-142"/>
        <w:rPr>
          <w:rFonts w:cs="Arial"/>
          <w:b/>
          <w:szCs w:val="22"/>
        </w:rPr>
      </w:pPr>
    </w:p>
    <w:p w:rsidR="00310F1A" w:rsidRPr="003B7E3F" w:rsidRDefault="00310F1A" w:rsidP="00AD68FA">
      <w:pPr>
        <w:tabs>
          <w:tab w:val="clear" w:pos="864"/>
          <w:tab w:val="clear" w:pos="1728"/>
        </w:tabs>
        <w:spacing w:after="120" w:line="269" w:lineRule="auto"/>
        <w:ind w:left="-142"/>
        <w:rPr>
          <w:rFonts w:cs="Arial"/>
          <w:szCs w:val="22"/>
        </w:rPr>
      </w:pPr>
      <w:r w:rsidRPr="003B7E3F">
        <w:rPr>
          <w:rFonts w:cs="Arial"/>
          <w:szCs w:val="22"/>
        </w:rPr>
        <w:t xml:space="preserve">The reason </w:t>
      </w:r>
      <w:r w:rsidR="00E74F05">
        <w:rPr>
          <w:rFonts w:cs="Arial"/>
          <w:szCs w:val="22"/>
        </w:rPr>
        <w:t xml:space="preserve">for the rate in the dollar </w:t>
      </w:r>
      <w:r w:rsidRPr="003B7E3F">
        <w:rPr>
          <w:rFonts w:cs="Arial"/>
          <w:szCs w:val="22"/>
        </w:rPr>
        <w:t xml:space="preserve">applied to the GRV Commercial/Industrial category land is to reflect the financial impact </w:t>
      </w:r>
      <w:r w:rsidR="00A33009">
        <w:rPr>
          <w:rFonts w:cs="Arial"/>
          <w:szCs w:val="22"/>
        </w:rPr>
        <w:t xml:space="preserve">and costs </w:t>
      </w:r>
      <w:r w:rsidRPr="003B7E3F">
        <w:rPr>
          <w:rFonts w:cs="Arial"/>
          <w:szCs w:val="22"/>
        </w:rPr>
        <w:t xml:space="preserve">these activities have on Shire infrastructure and services. </w:t>
      </w:r>
    </w:p>
    <w:p w:rsidR="000F6AFE" w:rsidRDefault="00310F1A" w:rsidP="000F6AFE">
      <w:pPr>
        <w:tabs>
          <w:tab w:val="clear" w:pos="864"/>
          <w:tab w:val="clear" w:pos="1728"/>
        </w:tabs>
        <w:spacing w:after="120" w:line="269" w:lineRule="auto"/>
        <w:ind w:left="-142"/>
        <w:rPr>
          <w:rFonts w:cs="Arial"/>
          <w:szCs w:val="22"/>
        </w:rPr>
      </w:pPr>
      <w:r w:rsidRPr="003B7E3F">
        <w:rPr>
          <w:rFonts w:cs="Arial"/>
          <w:szCs w:val="22"/>
        </w:rPr>
        <w:t xml:space="preserve">The objective is to raise revenue to contribute toward </w:t>
      </w:r>
      <w:r w:rsidR="00C807EA">
        <w:rPr>
          <w:rFonts w:cs="Arial"/>
          <w:szCs w:val="22"/>
        </w:rPr>
        <w:t xml:space="preserve">associated </w:t>
      </w:r>
      <w:r w:rsidR="00A33009">
        <w:rPr>
          <w:rFonts w:cs="Arial"/>
          <w:szCs w:val="22"/>
        </w:rPr>
        <w:t>costs</w:t>
      </w:r>
      <w:r w:rsidR="009E0649" w:rsidRPr="003B7E3F">
        <w:rPr>
          <w:rFonts w:cs="Arial"/>
          <w:szCs w:val="22"/>
        </w:rPr>
        <w:t xml:space="preserve">, but not limited to, </w:t>
      </w:r>
      <w:r w:rsidRPr="003B7E3F">
        <w:rPr>
          <w:rFonts w:cs="Arial"/>
          <w:szCs w:val="22"/>
        </w:rPr>
        <w:t xml:space="preserve">rubbish collection in </w:t>
      </w:r>
      <w:r w:rsidR="00BF53E5" w:rsidRPr="003B7E3F">
        <w:rPr>
          <w:rFonts w:cs="Arial"/>
          <w:szCs w:val="22"/>
        </w:rPr>
        <w:t>relevant</w:t>
      </w:r>
      <w:r w:rsidRPr="003B7E3F">
        <w:rPr>
          <w:rFonts w:cs="Arial"/>
          <w:szCs w:val="22"/>
        </w:rPr>
        <w:t xml:space="preserve"> areas, town planning control costs, health inspections and administration costs, complexity in building control, traffic volumes and vehicle mass due to commercial and industrial activity, parking facilities, traffic management, pedestrian access, commercial and industrial signage, visitor servicing and street furniture. </w:t>
      </w:r>
    </w:p>
    <w:p w:rsidR="00A33009" w:rsidRDefault="00A33009" w:rsidP="000F6AFE">
      <w:pPr>
        <w:tabs>
          <w:tab w:val="clear" w:pos="864"/>
          <w:tab w:val="clear" w:pos="1728"/>
        </w:tabs>
        <w:spacing w:after="120" w:line="269" w:lineRule="auto"/>
        <w:ind w:left="-142"/>
        <w:rPr>
          <w:rFonts w:cs="Arial"/>
          <w:b/>
          <w:i/>
          <w:color w:val="1F497D" w:themeColor="text2"/>
          <w:szCs w:val="22"/>
        </w:rPr>
      </w:pPr>
    </w:p>
    <w:p w:rsidR="00AD68FA" w:rsidRPr="000F6AFE" w:rsidRDefault="00AD68FA" w:rsidP="000F6AFE">
      <w:pPr>
        <w:tabs>
          <w:tab w:val="clear" w:pos="864"/>
          <w:tab w:val="clear" w:pos="1728"/>
        </w:tabs>
        <w:spacing w:after="120" w:line="269" w:lineRule="auto"/>
        <w:ind w:left="-142"/>
        <w:rPr>
          <w:rFonts w:cs="Arial"/>
          <w:szCs w:val="22"/>
        </w:rPr>
      </w:pPr>
      <w:r w:rsidRPr="00AD68FA">
        <w:rPr>
          <w:rFonts w:cs="Arial"/>
          <w:b/>
          <w:i/>
          <w:color w:val="1F497D" w:themeColor="text2"/>
          <w:szCs w:val="22"/>
        </w:rPr>
        <w:t xml:space="preserve">GRV </w:t>
      </w:r>
      <w:r>
        <w:rPr>
          <w:rFonts w:cs="Arial"/>
          <w:b/>
          <w:i/>
          <w:color w:val="1F497D" w:themeColor="text2"/>
          <w:szCs w:val="22"/>
        </w:rPr>
        <w:t>Residential/Community</w:t>
      </w:r>
    </w:p>
    <w:tbl>
      <w:tblPr>
        <w:tblStyle w:val="TableGrid"/>
        <w:tblW w:w="9168" w:type="dxa"/>
        <w:tblInd w:w="-147" w:type="dxa"/>
        <w:tblLook w:val="04A0" w:firstRow="1" w:lastRow="0" w:firstColumn="1" w:lastColumn="0" w:noHBand="0" w:noVBand="1"/>
      </w:tblPr>
      <w:tblGrid>
        <w:gridCol w:w="2694"/>
        <w:gridCol w:w="1559"/>
        <w:gridCol w:w="3119"/>
        <w:gridCol w:w="1796"/>
      </w:tblGrid>
      <w:tr w:rsidR="00AD68FA" w:rsidTr="00AD68FA">
        <w:tc>
          <w:tcPr>
            <w:tcW w:w="2694" w:type="dxa"/>
          </w:tcPr>
          <w:p w:rsidR="00AD68FA" w:rsidRPr="00A40A52" w:rsidRDefault="00AD68FA" w:rsidP="0044177B">
            <w:pPr>
              <w:tabs>
                <w:tab w:val="clear" w:pos="864"/>
                <w:tab w:val="clear" w:pos="1728"/>
              </w:tabs>
              <w:spacing w:before="240" w:after="120" w:line="269" w:lineRule="auto"/>
              <w:rPr>
                <w:rFonts w:cs="Arial"/>
                <w:b/>
                <w:sz w:val="18"/>
                <w:szCs w:val="18"/>
              </w:rPr>
            </w:pPr>
            <w:r w:rsidRPr="00A40A52">
              <w:rPr>
                <w:rFonts w:cs="Arial"/>
                <w:b/>
                <w:color w:val="1F497D" w:themeColor="text2"/>
                <w:sz w:val="18"/>
                <w:szCs w:val="18"/>
              </w:rPr>
              <w:t>DIFFERENTIAL RATE</w:t>
            </w:r>
          </w:p>
        </w:tc>
        <w:tc>
          <w:tcPr>
            <w:tcW w:w="1559" w:type="dxa"/>
          </w:tcPr>
          <w:p w:rsidR="00AD68FA" w:rsidRPr="00A40A52" w:rsidRDefault="00AD68FA" w:rsidP="0044177B">
            <w:pPr>
              <w:tabs>
                <w:tab w:val="clear" w:pos="864"/>
                <w:tab w:val="clear" w:pos="1728"/>
              </w:tabs>
              <w:spacing w:before="240" w:after="120" w:line="269" w:lineRule="auto"/>
              <w:rPr>
                <w:rFonts w:cs="Arial"/>
                <w:b/>
                <w:sz w:val="18"/>
                <w:szCs w:val="18"/>
              </w:rPr>
            </w:pPr>
            <w:r w:rsidRPr="00A40A52">
              <w:rPr>
                <w:rFonts w:cs="Arial"/>
                <w:b/>
                <w:color w:val="1F497D" w:themeColor="text2"/>
                <w:sz w:val="18"/>
                <w:szCs w:val="18"/>
              </w:rPr>
              <w:t>RATE IN THE $</w:t>
            </w:r>
          </w:p>
        </w:tc>
        <w:tc>
          <w:tcPr>
            <w:tcW w:w="3119" w:type="dxa"/>
          </w:tcPr>
          <w:p w:rsidR="00AD68FA" w:rsidRPr="00A40A52" w:rsidRDefault="00AD68FA" w:rsidP="0044177B">
            <w:pPr>
              <w:tabs>
                <w:tab w:val="clear" w:pos="864"/>
                <w:tab w:val="clear" w:pos="1728"/>
              </w:tabs>
              <w:spacing w:before="240" w:after="120" w:line="269" w:lineRule="auto"/>
              <w:rPr>
                <w:rFonts w:cs="Arial"/>
                <w:b/>
                <w:sz w:val="18"/>
                <w:szCs w:val="18"/>
              </w:rPr>
            </w:pPr>
            <w:r w:rsidRPr="00A40A52">
              <w:rPr>
                <w:rFonts w:cs="Arial"/>
                <w:b/>
                <w:color w:val="1F497D" w:themeColor="text2"/>
                <w:sz w:val="18"/>
                <w:szCs w:val="18"/>
              </w:rPr>
              <w:t>GENERAL MINIMUM PAYMENT $</w:t>
            </w:r>
          </w:p>
        </w:tc>
        <w:tc>
          <w:tcPr>
            <w:tcW w:w="1796" w:type="dxa"/>
          </w:tcPr>
          <w:p w:rsidR="00AD68FA" w:rsidRPr="00A40A52" w:rsidRDefault="00AD68FA" w:rsidP="0044177B">
            <w:pPr>
              <w:tabs>
                <w:tab w:val="clear" w:pos="864"/>
                <w:tab w:val="clear" w:pos="1728"/>
              </w:tabs>
              <w:spacing w:before="240" w:after="120" w:line="269" w:lineRule="auto"/>
              <w:rPr>
                <w:rFonts w:cs="Arial"/>
                <w:b/>
                <w:szCs w:val="22"/>
              </w:rPr>
            </w:pPr>
            <w:r w:rsidRPr="00A40A52">
              <w:rPr>
                <w:rFonts w:cs="Arial"/>
                <w:b/>
                <w:color w:val="1F497D" w:themeColor="text2"/>
                <w:sz w:val="18"/>
                <w:szCs w:val="18"/>
              </w:rPr>
              <w:t>LESSER MINIMUM PAYMENT $</w:t>
            </w:r>
          </w:p>
        </w:tc>
      </w:tr>
      <w:tr w:rsidR="00AD68FA" w:rsidTr="00AD68FA">
        <w:tc>
          <w:tcPr>
            <w:tcW w:w="2694" w:type="dxa"/>
          </w:tcPr>
          <w:p w:rsidR="00AD68FA" w:rsidRPr="00A40A52" w:rsidRDefault="00AD68FA" w:rsidP="00AD68FA">
            <w:pPr>
              <w:tabs>
                <w:tab w:val="clear" w:pos="864"/>
                <w:tab w:val="clear" w:pos="1728"/>
              </w:tabs>
              <w:spacing w:before="240" w:after="120" w:line="269" w:lineRule="auto"/>
              <w:jc w:val="center"/>
              <w:rPr>
                <w:rFonts w:cs="Arial"/>
                <w:sz w:val="18"/>
                <w:szCs w:val="18"/>
              </w:rPr>
            </w:pPr>
            <w:r w:rsidRPr="00A40A52">
              <w:rPr>
                <w:rFonts w:cs="Arial"/>
                <w:sz w:val="18"/>
                <w:szCs w:val="18"/>
              </w:rPr>
              <w:t xml:space="preserve">GRV </w:t>
            </w:r>
            <w:r>
              <w:rPr>
                <w:rFonts w:cs="Arial"/>
                <w:sz w:val="18"/>
                <w:szCs w:val="18"/>
              </w:rPr>
              <w:t>Residential/Community</w:t>
            </w:r>
          </w:p>
        </w:tc>
        <w:tc>
          <w:tcPr>
            <w:tcW w:w="1559" w:type="dxa"/>
          </w:tcPr>
          <w:p w:rsidR="00AD68FA" w:rsidRPr="00A40A52" w:rsidRDefault="004626FD" w:rsidP="004626FD">
            <w:pPr>
              <w:tabs>
                <w:tab w:val="clear" w:pos="864"/>
                <w:tab w:val="clear" w:pos="1728"/>
              </w:tabs>
              <w:spacing w:before="240" w:after="120" w:line="269" w:lineRule="auto"/>
              <w:jc w:val="center"/>
              <w:rPr>
                <w:rFonts w:cs="Arial"/>
                <w:sz w:val="18"/>
                <w:szCs w:val="18"/>
              </w:rPr>
            </w:pPr>
            <w:r>
              <w:rPr>
                <w:rFonts w:cs="Arial"/>
                <w:sz w:val="18"/>
                <w:szCs w:val="18"/>
              </w:rPr>
              <w:t>0.100357</w:t>
            </w:r>
          </w:p>
        </w:tc>
        <w:tc>
          <w:tcPr>
            <w:tcW w:w="3119" w:type="dxa"/>
          </w:tcPr>
          <w:p w:rsidR="00AD68FA" w:rsidRPr="00A40A52" w:rsidRDefault="004626FD" w:rsidP="0044177B">
            <w:pPr>
              <w:tabs>
                <w:tab w:val="clear" w:pos="864"/>
                <w:tab w:val="clear" w:pos="1728"/>
              </w:tabs>
              <w:spacing w:before="240" w:after="120" w:line="269" w:lineRule="auto"/>
              <w:jc w:val="center"/>
              <w:rPr>
                <w:rFonts w:cs="Arial"/>
                <w:sz w:val="18"/>
                <w:szCs w:val="18"/>
              </w:rPr>
            </w:pPr>
            <w:r>
              <w:rPr>
                <w:rFonts w:cs="Arial"/>
                <w:sz w:val="18"/>
                <w:szCs w:val="18"/>
              </w:rPr>
              <w:t>92</w:t>
            </w:r>
            <w:r w:rsidR="00AD68FA">
              <w:rPr>
                <w:rFonts w:cs="Arial"/>
                <w:sz w:val="18"/>
                <w:szCs w:val="18"/>
              </w:rPr>
              <w:t>0.00</w:t>
            </w:r>
          </w:p>
        </w:tc>
        <w:tc>
          <w:tcPr>
            <w:tcW w:w="1796" w:type="dxa"/>
          </w:tcPr>
          <w:p w:rsidR="00AD68FA" w:rsidRPr="00A40A52" w:rsidRDefault="004626FD" w:rsidP="0044177B">
            <w:pPr>
              <w:tabs>
                <w:tab w:val="clear" w:pos="864"/>
                <w:tab w:val="clear" w:pos="1728"/>
              </w:tabs>
              <w:spacing w:before="240" w:after="120" w:line="269" w:lineRule="auto"/>
              <w:jc w:val="center"/>
              <w:rPr>
                <w:rFonts w:cs="Arial"/>
                <w:sz w:val="18"/>
                <w:szCs w:val="18"/>
              </w:rPr>
            </w:pPr>
            <w:r>
              <w:rPr>
                <w:rFonts w:cs="Arial"/>
                <w:sz w:val="18"/>
                <w:szCs w:val="18"/>
              </w:rPr>
              <w:t>690.00</w:t>
            </w:r>
          </w:p>
        </w:tc>
      </w:tr>
      <w:tr w:rsidR="008932AA" w:rsidRPr="003B7E3F" w:rsidTr="00AD6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9168" w:type="dxa"/>
            <w:gridSpan w:val="4"/>
          </w:tcPr>
          <w:p w:rsidR="005D6590" w:rsidRDefault="005D6590" w:rsidP="00AD68FA">
            <w:pPr>
              <w:ind w:left="-142"/>
              <w:rPr>
                <w:rFonts w:cs="Arial"/>
                <w:szCs w:val="22"/>
              </w:rPr>
            </w:pPr>
          </w:p>
          <w:p w:rsidR="008932AA" w:rsidRPr="003B7E3F" w:rsidRDefault="00CF1B66" w:rsidP="000F6AFE">
            <w:pPr>
              <w:ind w:left="-108" w:hanging="34"/>
              <w:rPr>
                <w:rFonts w:cs="Arial"/>
                <w:szCs w:val="22"/>
              </w:rPr>
            </w:pPr>
            <w:r w:rsidRPr="003B7E3F">
              <w:rPr>
                <w:rFonts w:cs="Arial"/>
                <w:szCs w:val="22"/>
              </w:rPr>
              <w:t xml:space="preserve">This </w:t>
            </w:r>
            <w:r w:rsidR="00AD68FA">
              <w:rPr>
                <w:rFonts w:cs="Arial"/>
                <w:szCs w:val="22"/>
              </w:rPr>
              <w:t xml:space="preserve">differential </w:t>
            </w:r>
            <w:r w:rsidRPr="003B7E3F">
              <w:rPr>
                <w:rFonts w:cs="Arial"/>
                <w:szCs w:val="22"/>
              </w:rPr>
              <w:t>rate is applicable to p</w:t>
            </w:r>
            <w:r w:rsidR="008932AA" w:rsidRPr="003B7E3F">
              <w:rPr>
                <w:rFonts w:cs="Arial"/>
                <w:szCs w:val="22"/>
              </w:rPr>
              <w:t>roperties that have a predominant land use of residential</w:t>
            </w:r>
            <w:r w:rsidR="00BF53E5" w:rsidRPr="003B7E3F">
              <w:rPr>
                <w:rFonts w:cs="Arial"/>
                <w:szCs w:val="22"/>
              </w:rPr>
              <w:t>,</w:t>
            </w:r>
            <w:r w:rsidR="008932AA" w:rsidRPr="003B7E3F">
              <w:rPr>
                <w:rFonts w:cs="Arial"/>
                <w:szCs w:val="22"/>
              </w:rPr>
              <w:t xml:space="preserve"> </w:t>
            </w:r>
            <w:r w:rsidR="00AD68FA">
              <w:rPr>
                <w:rFonts w:cs="Arial"/>
                <w:szCs w:val="22"/>
              </w:rPr>
              <w:t xml:space="preserve">  </w:t>
            </w:r>
            <w:r w:rsidR="009B3680">
              <w:rPr>
                <w:rFonts w:cs="Arial"/>
                <w:szCs w:val="22"/>
              </w:rPr>
              <w:t xml:space="preserve">  </w:t>
            </w:r>
            <w:r w:rsidR="008932AA" w:rsidRPr="003B7E3F">
              <w:rPr>
                <w:rFonts w:cs="Arial"/>
                <w:szCs w:val="22"/>
              </w:rPr>
              <w:t xml:space="preserve">or used </w:t>
            </w:r>
            <w:r w:rsidR="00BF53E5" w:rsidRPr="003B7E3F">
              <w:rPr>
                <w:rFonts w:cs="Arial"/>
                <w:szCs w:val="22"/>
              </w:rPr>
              <w:t>by</w:t>
            </w:r>
            <w:r w:rsidR="008932AA" w:rsidRPr="003B7E3F">
              <w:rPr>
                <w:rFonts w:cs="Arial"/>
                <w:szCs w:val="22"/>
              </w:rPr>
              <w:t xml:space="preserve"> organisations involved in activities for community benefit including Arts and </w:t>
            </w:r>
            <w:r w:rsidR="00251CDA" w:rsidRPr="003B7E3F">
              <w:rPr>
                <w:rFonts w:cs="Arial"/>
                <w:szCs w:val="22"/>
              </w:rPr>
              <w:t xml:space="preserve">Craft </w:t>
            </w:r>
            <w:r w:rsidR="00251CDA">
              <w:rPr>
                <w:rFonts w:cs="Arial"/>
                <w:szCs w:val="22"/>
              </w:rPr>
              <w:t>facilities</w:t>
            </w:r>
            <w:r w:rsidR="008932AA" w:rsidRPr="003B7E3F">
              <w:rPr>
                <w:rFonts w:cs="Arial"/>
                <w:szCs w:val="22"/>
              </w:rPr>
              <w:t>, Youth Centres, Day Care Centres, Sporting Grounds/Clubs (that do not run a commercial business/kitchen) and health &amp; emergency service facilities.</w:t>
            </w:r>
          </w:p>
        </w:tc>
      </w:tr>
    </w:tbl>
    <w:p w:rsidR="00FF08B6" w:rsidRDefault="00FF08B6" w:rsidP="00AD68FA">
      <w:pPr>
        <w:ind w:left="-142"/>
        <w:rPr>
          <w:rFonts w:cs="Arial"/>
          <w:b/>
          <w:szCs w:val="22"/>
        </w:rPr>
      </w:pPr>
    </w:p>
    <w:p w:rsidR="00730B9B" w:rsidRPr="003B7E3F" w:rsidRDefault="0055576C" w:rsidP="00AD68FA">
      <w:pPr>
        <w:ind w:left="-142"/>
        <w:rPr>
          <w:rFonts w:cs="Arial"/>
          <w:szCs w:val="22"/>
        </w:rPr>
      </w:pPr>
      <w:r w:rsidRPr="003B7E3F">
        <w:rPr>
          <w:rFonts w:cs="Arial"/>
          <w:szCs w:val="22"/>
        </w:rPr>
        <w:t>The reason the GRV Residential/</w:t>
      </w:r>
      <w:r w:rsidR="00310F1A" w:rsidRPr="003B7E3F">
        <w:rPr>
          <w:rFonts w:cs="Arial"/>
          <w:szCs w:val="22"/>
        </w:rPr>
        <w:t>Community</w:t>
      </w:r>
      <w:r w:rsidRPr="003B7E3F">
        <w:rPr>
          <w:rFonts w:cs="Arial"/>
          <w:szCs w:val="22"/>
        </w:rPr>
        <w:t xml:space="preserve"> </w:t>
      </w:r>
      <w:r w:rsidR="000D35E1" w:rsidRPr="003B7E3F">
        <w:rPr>
          <w:rFonts w:cs="Arial"/>
          <w:szCs w:val="22"/>
        </w:rPr>
        <w:t xml:space="preserve">rate </w:t>
      </w:r>
      <w:r w:rsidR="00A33009">
        <w:rPr>
          <w:rFonts w:cs="Arial"/>
          <w:szCs w:val="22"/>
        </w:rPr>
        <w:t xml:space="preserve">in the dollar </w:t>
      </w:r>
      <w:r w:rsidR="000D35E1" w:rsidRPr="003B7E3F">
        <w:rPr>
          <w:rFonts w:cs="Arial"/>
          <w:szCs w:val="22"/>
        </w:rPr>
        <w:t xml:space="preserve">applied </w:t>
      </w:r>
      <w:r w:rsidRPr="003B7E3F">
        <w:rPr>
          <w:rFonts w:cs="Arial"/>
          <w:szCs w:val="22"/>
        </w:rPr>
        <w:t xml:space="preserve">is to reflect the </w:t>
      </w:r>
      <w:r w:rsidR="00D75820">
        <w:rPr>
          <w:rFonts w:cs="Arial"/>
          <w:szCs w:val="22"/>
        </w:rPr>
        <w:t>financial</w:t>
      </w:r>
      <w:r w:rsidR="00A33009">
        <w:rPr>
          <w:rFonts w:cs="Arial"/>
          <w:szCs w:val="22"/>
        </w:rPr>
        <w:t xml:space="preserve"> impact and costs </w:t>
      </w:r>
      <w:r w:rsidR="00C807EA">
        <w:rPr>
          <w:rFonts w:cs="Arial"/>
          <w:szCs w:val="22"/>
        </w:rPr>
        <w:t>to</w:t>
      </w:r>
      <w:r w:rsidR="00A33009">
        <w:rPr>
          <w:rFonts w:cs="Arial"/>
          <w:szCs w:val="22"/>
        </w:rPr>
        <w:t xml:space="preserve"> provides community services and activities as well as maintain </w:t>
      </w:r>
      <w:r w:rsidR="00310F1A" w:rsidRPr="003B7E3F">
        <w:rPr>
          <w:rFonts w:cs="Arial"/>
          <w:szCs w:val="22"/>
        </w:rPr>
        <w:t xml:space="preserve">the </w:t>
      </w:r>
      <w:r w:rsidRPr="003B7E3F">
        <w:rPr>
          <w:rFonts w:cs="Arial"/>
          <w:szCs w:val="22"/>
        </w:rPr>
        <w:t>Shire</w:t>
      </w:r>
      <w:r w:rsidR="00310F1A" w:rsidRPr="003B7E3F">
        <w:rPr>
          <w:rFonts w:cs="Arial"/>
          <w:szCs w:val="22"/>
        </w:rPr>
        <w:t>’s</w:t>
      </w:r>
      <w:r w:rsidRPr="003B7E3F">
        <w:rPr>
          <w:rFonts w:cs="Arial"/>
          <w:szCs w:val="22"/>
        </w:rPr>
        <w:t xml:space="preserve"> infrastructure</w:t>
      </w:r>
      <w:r w:rsidR="00E50E2B">
        <w:rPr>
          <w:rFonts w:cs="Arial"/>
          <w:szCs w:val="22"/>
        </w:rPr>
        <w:t xml:space="preserve">. Also </w:t>
      </w:r>
      <w:r w:rsidRPr="003B7E3F">
        <w:rPr>
          <w:rFonts w:cs="Arial"/>
          <w:szCs w:val="22"/>
        </w:rPr>
        <w:t xml:space="preserve">to </w:t>
      </w:r>
      <w:r w:rsidR="00310F1A" w:rsidRPr="003B7E3F">
        <w:rPr>
          <w:rFonts w:cs="Arial"/>
          <w:szCs w:val="22"/>
        </w:rPr>
        <w:t>further</w:t>
      </w:r>
      <w:r w:rsidRPr="003B7E3F">
        <w:rPr>
          <w:rFonts w:cs="Arial"/>
          <w:szCs w:val="22"/>
        </w:rPr>
        <w:t xml:space="preserve"> the Shire</w:t>
      </w:r>
      <w:r w:rsidR="002C0522" w:rsidRPr="003B7E3F">
        <w:rPr>
          <w:rFonts w:cs="Arial"/>
          <w:szCs w:val="22"/>
        </w:rPr>
        <w:t>’</w:t>
      </w:r>
      <w:r w:rsidRPr="003B7E3F">
        <w:rPr>
          <w:rFonts w:cs="Arial"/>
          <w:szCs w:val="22"/>
        </w:rPr>
        <w:t xml:space="preserve">s strategic goals to </w:t>
      </w:r>
      <w:r w:rsidR="00310F1A" w:rsidRPr="003B7E3F">
        <w:rPr>
          <w:rFonts w:cs="Arial"/>
          <w:szCs w:val="22"/>
        </w:rPr>
        <w:t xml:space="preserve">encourage and </w:t>
      </w:r>
      <w:r w:rsidRPr="003B7E3F">
        <w:rPr>
          <w:rFonts w:cs="Arial"/>
          <w:szCs w:val="22"/>
        </w:rPr>
        <w:t xml:space="preserve">support </w:t>
      </w:r>
      <w:r w:rsidR="00310F1A" w:rsidRPr="003B7E3F">
        <w:rPr>
          <w:rFonts w:cs="Arial"/>
          <w:szCs w:val="22"/>
        </w:rPr>
        <w:t>residential development in the town sites and organisations that contribute toward a safe, health</w:t>
      </w:r>
      <w:r w:rsidR="002C0522" w:rsidRPr="003B7E3F">
        <w:rPr>
          <w:rFonts w:cs="Arial"/>
          <w:szCs w:val="22"/>
        </w:rPr>
        <w:t>y</w:t>
      </w:r>
      <w:r w:rsidR="00310F1A" w:rsidRPr="003B7E3F">
        <w:rPr>
          <w:rFonts w:cs="Arial"/>
          <w:szCs w:val="22"/>
        </w:rPr>
        <w:t xml:space="preserve">, cohesive and vibrant community.  </w:t>
      </w:r>
    </w:p>
    <w:p w:rsidR="00730B9B" w:rsidRPr="003B7E3F" w:rsidRDefault="00730B9B" w:rsidP="00AD68FA">
      <w:pPr>
        <w:ind w:left="-142"/>
        <w:rPr>
          <w:rFonts w:cs="Arial"/>
          <w:szCs w:val="22"/>
        </w:rPr>
      </w:pPr>
    </w:p>
    <w:p w:rsidR="00C807EA" w:rsidRDefault="00C807EA" w:rsidP="00AD68FA">
      <w:pPr>
        <w:tabs>
          <w:tab w:val="clear" w:pos="864"/>
          <w:tab w:val="clear" w:pos="1728"/>
        </w:tabs>
        <w:spacing w:line="269" w:lineRule="auto"/>
        <w:ind w:left="-142"/>
        <w:rPr>
          <w:rFonts w:cs="Arial"/>
          <w:b/>
          <w:i/>
          <w:color w:val="3A6097"/>
          <w:szCs w:val="22"/>
        </w:rPr>
      </w:pPr>
    </w:p>
    <w:p w:rsidR="00C807EA" w:rsidRDefault="00C807EA" w:rsidP="00AD68FA">
      <w:pPr>
        <w:tabs>
          <w:tab w:val="clear" w:pos="864"/>
          <w:tab w:val="clear" w:pos="1728"/>
        </w:tabs>
        <w:spacing w:line="269" w:lineRule="auto"/>
        <w:ind w:left="-142"/>
        <w:rPr>
          <w:rFonts w:cs="Arial"/>
          <w:b/>
          <w:i/>
          <w:color w:val="3A6097"/>
          <w:szCs w:val="22"/>
        </w:rPr>
      </w:pPr>
    </w:p>
    <w:p w:rsidR="00C807EA" w:rsidRDefault="00C807EA" w:rsidP="00AD68FA">
      <w:pPr>
        <w:tabs>
          <w:tab w:val="clear" w:pos="864"/>
          <w:tab w:val="clear" w:pos="1728"/>
        </w:tabs>
        <w:spacing w:line="269" w:lineRule="auto"/>
        <w:ind w:left="-142"/>
        <w:rPr>
          <w:rFonts w:cs="Arial"/>
          <w:b/>
          <w:i/>
          <w:color w:val="3A6097"/>
          <w:szCs w:val="22"/>
        </w:rPr>
      </w:pPr>
    </w:p>
    <w:p w:rsidR="00C807EA" w:rsidRPr="003B7E3F" w:rsidRDefault="00C807EA" w:rsidP="00153324">
      <w:pPr>
        <w:pStyle w:val="Heading3"/>
        <w:tabs>
          <w:tab w:val="left" w:pos="851"/>
        </w:tabs>
        <w:spacing w:after="120" w:line="269" w:lineRule="auto"/>
        <w:ind w:left="-142" w:firstLine="142"/>
        <w:rPr>
          <w:rFonts w:ascii="Arial" w:hAnsi="Arial"/>
          <w:bCs w:val="0"/>
          <w:i w:val="0"/>
          <w:spacing w:val="0"/>
          <w:sz w:val="24"/>
          <w:szCs w:val="22"/>
          <w:lang w:eastAsia="en-US"/>
        </w:rPr>
      </w:pPr>
      <w:r w:rsidRPr="003B7E3F">
        <w:rPr>
          <w:rFonts w:ascii="Arial" w:hAnsi="Arial"/>
          <w:bCs w:val="0"/>
          <w:i w:val="0"/>
          <w:spacing w:val="0"/>
          <w:sz w:val="24"/>
          <w:szCs w:val="22"/>
          <w:lang w:eastAsia="en-US"/>
        </w:rPr>
        <w:t xml:space="preserve">SUPPORTING STATEMENT OF RATING INFORMATION </w:t>
      </w:r>
      <w:r>
        <w:rPr>
          <w:rFonts w:ascii="Arial" w:hAnsi="Arial"/>
          <w:bCs w:val="0"/>
          <w:i w:val="0"/>
          <w:spacing w:val="0"/>
          <w:sz w:val="24"/>
          <w:szCs w:val="22"/>
          <w:lang w:eastAsia="en-US"/>
        </w:rPr>
        <w:t>2018/19</w:t>
      </w:r>
      <w:r w:rsidRPr="003B7E3F">
        <w:rPr>
          <w:rFonts w:ascii="Arial" w:hAnsi="Arial"/>
          <w:bCs w:val="0"/>
          <w:i w:val="0"/>
          <w:spacing w:val="0"/>
          <w:sz w:val="24"/>
          <w:szCs w:val="22"/>
          <w:lang w:eastAsia="en-US"/>
        </w:rPr>
        <w:t xml:space="preserve"> (Continued)</w:t>
      </w:r>
    </w:p>
    <w:p w:rsidR="00C807EA" w:rsidRDefault="00C807EA" w:rsidP="00AD68FA">
      <w:pPr>
        <w:tabs>
          <w:tab w:val="clear" w:pos="864"/>
          <w:tab w:val="clear" w:pos="1728"/>
        </w:tabs>
        <w:spacing w:line="269" w:lineRule="auto"/>
        <w:ind w:left="-142"/>
        <w:rPr>
          <w:rFonts w:cs="Arial"/>
          <w:b/>
          <w:i/>
          <w:color w:val="3A6097"/>
          <w:szCs w:val="22"/>
        </w:rPr>
      </w:pPr>
    </w:p>
    <w:p w:rsidR="009F1796" w:rsidRPr="003B7E3F" w:rsidRDefault="00E94AAD" w:rsidP="00AD68FA">
      <w:pPr>
        <w:tabs>
          <w:tab w:val="clear" w:pos="864"/>
          <w:tab w:val="clear" w:pos="1728"/>
        </w:tabs>
        <w:spacing w:line="269" w:lineRule="auto"/>
        <w:ind w:left="-142"/>
        <w:rPr>
          <w:rFonts w:cs="Arial"/>
          <w:b/>
          <w:i/>
          <w:color w:val="3A6097"/>
          <w:szCs w:val="22"/>
        </w:rPr>
      </w:pPr>
      <w:r>
        <w:rPr>
          <w:rFonts w:cs="Arial"/>
          <w:b/>
          <w:i/>
          <w:color w:val="3A6097"/>
          <w:szCs w:val="22"/>
        </w:rPr>
        <w:t>Differential Rates – Unimproved Values</w:t>
      </w:r>
      <w:r w:rsidR="00031A8B" w:rsidRPr="003B7E3F">
        <w:rPr>
          <w:rFonts w:cs="Arial"/>
          <w:b/>
          <w:i/>
          <w:color w:val="3A6097"/>
          <w:szCs w:val="22"/>
        </w:rPr>
        <w:t xml:space="preserve"> (UV)</w:t>
      </w:r>
    </w:p>
    <w:p w:rsidR="000E4412" w:rsidRDefault="000E4412" w:rsidP="00AD68FA">
      <w:pPr>
        <w:tabs>
          <w:tab w:val="clear" w:pos="864"/>
          <w:tab w:val="clear" w:pos="1728"/>
        </w:tabs>
        <w:spacing w:after="120" w:line="269" w:lineRule="auto"/>
        <w:ind w:left="-142"/>
        <w:rPr>
          <w:rFonts w:cs="Arial"/>
          <w:szCs w:val="22"/>
        </w:rPr>
      </w:pPr>
      <w:r w:rsidRPr="003B7E3F">
        <w:rPr>
          <w:rFonts w:cs="Arial"/>
          <w:szCs w:val="22"/>
        </w:rPr>
        <w:t>Council intends to adopt differential rating principles for UV category properties based upon the land use of each property as follows:</w:t>
      </w:r>
    </w:p>
    <w:p w:rsidR="004626FD" w:rsidRDefault="004626FD" w:rsidP="007405F0">
      <w:pPr>
        <w:tabs>
          <w:tab w:val="clear" w:pos="864"/>
          <w:tab w:val="clear" w:pos="1728"/>
        </w:tabs>
        <w:spacing w:after="120" w:line="269" w:lineRule="auto"/>
        <w:ind w:left="-142"/>
        <w:rPr>
          <w:rFonts w:cs="Arial"/>
          <w:b/>
          <w:i/>
          <w:color w:val="1F497D" w:themeColor="text2"/>
          <w:szCs w:val="22"/>
        </w:rPr>
      </w:pPr>
    </w:p>
    <w:p w:rsidR="007405F0" w:rsidRPr="000F6AFE" w:rsidRDefault="007405F0" w:rsidP="007405F0">
      <w:pPr>
        <w:tabs>
          <w:tab w:val="clear" w:pos="864"/>
          <w:tab w:val="clear" w:pos="1728"/>
        </w:tabs>
        <w:spacing w:after="120" w:line="269" w:lineRule="auto"/>
        <w:ind w:left="-142"/>
        <w:rPr>
          <w:rFonts w:cs="Arial"/>
          <w:szCs w:val="22"/>
        </w:rPr>
      </w:pPr>
      <w:r>
        <w:rPr>
          <w:rFonts w:cs="Arial"/>
          <w:b/>
          <w:i/>
          <w:color w:val="1F497D" w:themeColor="text2"/>
          <w:szCs w:val="22"/>
        </w:rPr>
        <w:t>UV Mining/Industrial</w:t>
      </w:r>
    </w:p>
    <w:tbl>
      <w:tblPr>
        <w:tblStyle w:val="TableGrid"/>
        <w:tblW w:w="9198" w:type="dxa"/>
        <w:tblInd w:w="-147" w:type="dxa"/>
        <w:tblLook w:val="04A0" w:firstRow="1" w:lastRow="0" w:firstColumn="1" w:lastColumn="0" w:noHBand="0" w:noVBand="1"/>
      </w:tblPr>
      <w:tblGrid>
        <w:gridCol w:w="2702"/>
        <w:gridCol w:w="1564"/>
        <w:gridCol w:w="3129"/>
        <w:gridCol w:w="1803"/>
      </w:tblGrid>
      <w:tr w:rsidR="00446362" w:rsidTr="00E50E2B">
        <w:trPr>
          <w:trHeight w:val="806"/>
        </w:trPr>
        <w:tc>
          <w:tcPr>
            <w:tcW w:w="2702" w:type="dxa"/>
          </w:tcPr>
          <w:p w:rsidR="00446362" w:rsidRPr="00A40A52" w:rsidRDefault="00446362" w:rsidP="0044177B">
            <w:pPr>
              <w:tabs>
                <w:tab w:val="clear" w:pos="864"/>
                <w:tab w:val="clear" w:pos="1728"/>
              </w:tabs>
              <w:spacing w:before="240" w:after="120" w:line="269" w:lineRule="auto"/>
              <w:rPr>
                <w:rFonts w:cs="Arial"/>
                <w:b/>
                <w:sz w:val="18"/>
                <w:szCs w:val="18"/>
              </w:rPr>
            </w:pPr>
            <w:r w:rsidRPr="00A40A52">
              <w:rPr>
                <w:rFonts w:cs="Arial"/>
                <w:b/>
                <w:color w:val="1F497D" w:themeColor="text2"/>
                <w:sz w:val="18"/>
                <w:szCs w:val="18"/>
              </w:rPr>
              <w:t>DIFFERENTIAL RATE</w:t>
            </w:r>
          </w:p>
        </w:tc>
        <w:tc>
          <w:tcPr>
            <w:tcW w:w="1564" w:type="dxa"/>
          </w:tcPr>
          <w:p w:rsidR="00446362" w:rsidRPr="00A40A52" w:rsidRDefault="00446362" w:rsidP="0044177B">
            <w:pPr>
              <w:tabs>
                <w:tab w:val="clear" w:pos="864"/>
                <w:tab w:val="clear" w:pos="1728"/>
              </w:tabs>
              <w:spacing w:before="240" w:after="120" w:line="269" w:lineRule="auto"/>
              <w:rPr>
                <w:rFonts w:cs="Arial"/>
                <w:b/>
                <w:sz w:val="18"/>
                <w:szCs w:val="18"/>
              </w:rPr>
            </w:pPr>
            <w:r w:rsidRPr="00A40A52">
              <w:rPr>
                <w:rFonts w:cs="Arial"/>
                <w:b/>
                <w:color w:val="1F497D" w:themeColor="text2"/>
                <w:sz w:val="18"/>
                <w:szCs w:val="18"/>
              </w:rPr>
              <w:t>RATE IN THE $</w:t>
            </w:r>
          </w:p>
        </w:tc>
        <w:tc>
          <w:tcPr>
            <w:tcW w:w="3129" w:type="dxa"/>
          </w:tcPr>
          <w:p w:rsidR="00446362" w:rsidRPr="00A40A52" w:rsidRDefault="00446362" w:rsidP="0044177B">
            <w:pPr>
              <w:tabs>
                <w:tab w:val="clear" w:pos="864"/>
                <w:tab w:val="clear" w:pos="1728"/>
              </w:tabs>
              <w:spacing w:before="240" w:after="120" w:line="269" w:lineRule="auto"/>
              <w:rPr>
                <w:rFonts w:cs="Arial"/>
                <w:b/>
                <w:sz w:val="18"/>
                <w:szCs w:val="18"/>
              </w:rPr>
            </w:pPr>
            <w:r w:rsidRPr="00A40A52">
              <w:rPr>
                <w:rFonts w:cs="Arial"/>
                <w:b/>
                <w:color w:val="1F497D" w:themeColor="text2"/>
                <w:sz w:val="18"/>
                <w:szCs w:val="18"/>
              </w:rPr>
              <w:t>GENERAL MINIMUM PAYMENT $</w:t>
            </w:r>
          </w:p>
        </w:tc>
        <w:tc>
          <w:tcPr>
            <w:tcW w:w="1803" w:type="dxa"/>
          </w:tcPr>
          <w:p w:rsidR="00446362" w:rsidRPr="00A40A52" w:rsidRDefault="00446362" w:rsidP="0044177B">
            <w:pPr>
              <w:tabs>
                <w:tab w:val="clear" w:pos="864"/>
                <w:tab w:val="clear" w:pos="1728"/>
              </w:tabs>
              <w:spacing w:before="240" w:after="120" w:line="269" w:lineRule="auto"/>
              <w:rPr>
                <w:rFonts w:cs="Arial"/>
                <w:b/>
                <w:szCs w:val="22"/>
              </w:rPr>
            </w:pPr>
            <w:r w:rsidRPr="00A40A52">
              <w:rPr>
                <w:rFonts w:cs="Arial"/>
                <w:b/>
                <w:color w:val="1F497D" w:themeColor="text2"/>
                <w:sz w:val="18"/>
                <w:szCs w:val="18"/>
              </w:rPr>
              <w:t>LESSER MINIMUM PAYMENT $</w:t>
            </w:r>
          </w:p>
        </w:tc>
      </w:tr>
      <w:tr w:rsidR="00446362" w:rsidTr="00E50E2B">
        <w:trPr>
          <w:trHeight w:val="572"/>
        </w:trPr>
        <w:tc>
          <w:tcPr>
            <w:tcW w:w="2702" w:type="dxa"/>
          </w:tcPr>
          <w:p w:rsidR="00446362" w:rsidRPr="00A40A52" w:rsidRDefault="00446362" w:rsidP="00446362">
            <w:pPr>
              <w:tabs>
                <w:tab w:val="clear" w:pos="864"/>
                <w:tab w:val="clear" w:pos="1728"/>
              </w:tabs>
              <w:spacing w:before="240" w:after="120" w:line="269" w:lineRule="auto"/>
              <w:jc w:val="center"/>
              <w:rPr>
                <w:rFonts w:cs="Arial"/>
                <w:sz w:val="18"/>
                <w:szCs w:val="18"/>
              </w:rPr>
            </w:pPr>
            <w:r>
              <w:rPr>
                <w:rFonts w:cs="Arial"/>
                <w:sz w:val="18"/>
                <w:szCs w:val="18"/>
              </w:rPr>
              <w:t>UV Mining/Industrial</w:t>
            </w:r>
          </w:p>
        </w:tc>
        <w:tc>
          <w:tcPr>
            <w:tcW w:w="1564" w:type="dxa"/>
          </w:tcPr>
          <w:p w:rsidR="00446362" w:rsidRPr="00A40A52" w:rsidRDefault="00446362" w:rsidP="00BA0C6C">
            <w:pPr>
              <w:tabs>
                <w:tab w:val="clear" w:pos="864"/>
                <w:tab w:val="clear" w:pos="1728"/>
              </w:tabs>
              <w:spacing w:before="240" w:after="120" w:line="269" w:lineRule="auto"/>
              <w:jc w:val="center"/>
              <w:rPr>
                <w:rFonts w:cs="Arial"/>
                <w:sz w:val="18"/>
                <w:szCs w:val="18"/>
              </w:rPr>
            </w:pPr>
            <w:r>
              <w:rPr>
                <w:rFonts w:cs="Arial"/>
                <w:sz w:val="18"/>
                <w:szCs w:val="18"/>
              </w:rPr>
              <w:t>0.3</w:t>
            </w:r>
            <w:r w:rsidR="00BA0C6C">
              <w:rPr>
                <w:rFonts w:cs="Arial"/>
                <w:sz w:val="18"/>
                <w:szCs w:val="18"/>
              </w:rPr>
              <w:t>69571</w:t>
            </w:r>
          </w:p>
        </w:tc>
        <w:tc>
          <w:tcPr>
            <w:tcW w:w="3129" w:type="dxa"/>
          </w:tcPr>
          <w:p w:rsidR="00446362" w:rsidRPr="00A40A52" w:rsidRDefault="00446362" w:rsidP="00BA0C6C">
            <w:pPr>
              <w:tabs>
                <w:tab w:val="clear" w:pos="864"/>
                <w:tab w:val="clear" w:pos="1728"/>
              </w:tabs>
              <w:spacing w:before="240" w:after="120" w:line="269" w:lineRule="auto"/>
              <w:jc w:val="center"/>
              <w:rPr>
                <w:rFonts w:cs="Arial"/>
                <w:sz w:val="18"/>
                <w:szCs w:val="18"/>
              </w:rPr>
            </w:pPr>
            <w:r w:rsidRPr="00A40A52">
              <w:rPr>
                <w:rFonts w:cs="Arial"/>
                <w:sz w:val="18"/>
                <w:szCs w:val="18"/>
              </w:rPr>
              <w:t>1,</w:t>
            </w:r>
            <w:r w:rsidR="00BA0C6C">
              <w:rPr>
                <w:rFonts w:cs="Arial"/>
                <w:sz w:val="18"/>
                <w:szCs w:val="18"/>
              </w:rPr>
              <w:t>150.00</w:t>
            </w:r>
          </w:p>
        </w:tc>
        <w:tc>
          <w:tcPr>
            <w:tcW w:w="1803" w:type="dxa"/>
          </w:tcPr>
          <w:p w:rsidR="00446362" w:rsidRPr="00A40A52" w:rsidRDefault="00446362" w:rsidP="0044177B">
            <w:pPr>
              <w:tabs>
                <w:tab w:val="clear" w:pos="864"/>
                <w:tab w:val="clear" w:pos="1728"/>
              </w:tabs>
              <w:spacing w:before="240" w:after="120" w:line="269" w:lineRule="auto"/>
              <w:jc w:val="center"/>
              <w:rPr>
                <w:rFonts w:cs="Arial"/>
                <w:sz w:val="18"/>
                <w:szCs w:val="18"/>
              </w:rPr>
            </w:pPr>
            <w:r w:rsidRPr="00A40A52">
              <w:rPr>
                <w:rFonts w:cs="Arial"/>
                <w:sz w:val="18"/>
                <w:szCs w:val="18"/>
              </w:rPr>
              <w:t>N/A</w:t>
            </w:r>
          </w:p>
        </w:tc>
      </w:tr>
    </w:tbl>
    <w:p w:rsidR="00E50E2B" w:rsidRDefault="00E50E2B" w:rsidP="00E50E2B">
      <w:pPr>
        <w:ind w:left="-142"/>
        <w:rPr>
          <w:szCs w:val="22"/>
        </w:rPr>
      </w:pPr>
    </w:p>
    <w:p w:rsidR="000E4412" w:rsidRDefault="00E50E2B" w:rsidP="00E50E2B">
      <w:pPr>
        <w:ind w:left="-142"/>
        <w:rPr>
          <w:szCs w:val="22"/>
        </w:rPr>
      </w:pPr>
      <w:r w:rsidRPr="003B7E3F">
        <w:rPr>
          <w:szCs w:val="22"/>
        </w:rPr>
        <w:t>This rate is applicable to properties with a land use associated with mining tenements</w:t>
      </w:r>
      <w:r>
        <w:rPr>
          <w:szCs w:val="22"/>
        </w:rPr>
        <w:t xml:space="preserve">  </w:t>
      </w:r>
      <w:r w:rsidRPr="003B7E3F">
        <w:rPr>
          <w:szCs w:val="22"/>
        </w:rPr>
        <w:t xml:space="preserve"> </w:t>
      </w:r>
      <w:r>
        <w:rPr>
          <w:szCs w:val="22"/>
        </w:rPr>
        <w:t xml:space="preserve">    </w:t>
      </w:r>
      <w:r w:rsidRPr="003B7E3F">
        <w:rPr>
          <w:szCs w:val="22"/>
        </w:rPr>
        <w:t xml:space="preserve">(including Exploration Licences, General Purpose Leases, Mineral Leases, Mining Leases, </w:t>
      </w:r>
      <w:r>
        <w:rPr>
          <w:szCs w:val="22"/>
        </w:rPr>
        <w:t xml:space="preserve">   </w:t>
      </w:r>
      <w:r w:rsidRPr="003B7E3F">
        <w:rPr>
          <w:szCs w:val="22"/>
        </w:rPr>
        <w:t>Petroleum Exploration Permits, Petroleum Production Licences) and for Industrial properties with a mining purpose/mining infrastructure predominate use (including crown leases).</w:t>
      </w:r>
    </w:p>
    <w:p w:rsidR="00E50E2B" w:rsidRDefault="00E50E2B" w:rsidP="00E50E2B">
      <w:pPr>
        <w:ind w:left="-142"/>
        <w:rPr>
          <w:rFonts w:cs="Arial"/>
          <w:b/>
          <w:szCs w:val="22"/>
        </w:rPr>
      </w:pPr>
    </w:p>
    <w:p w:rsidR="00E94FC5" w:rsidRDefault="00251CDA" w:rsidP="00E50E2B">
      <w:pPr>
        <w:tabs>
          <w:tab w:val="clear" w:pos="864"/>
          <w:tab w:val="clear" w:pos="1728"/>
        </w:tabs>
        <w:spacing w:after="80" w:line="269" w:lineRule="auto"/>
        <w:ind w:left="-142"/>
        <w:rPr>
          <w:rFonts w:cs="Arial"/>
          <w:szCs w:val="22"/>
        </w:rPr>
      </w:pPr>
      <w:r>
        <w:rPr>
          <w:rFonts w:cs="Arial"/>
          <w:szCs w:val="22"/>
        </w:rPr>
        <w:t>T</w:t>
      </w:r>
      <w:r w:rsidR="000E4412" w:rsidRPr="003B7E3F">
        <w:rPr>
          <w:rFonts w:cs="Arial"/>
          <w:szCs w:val="22"/>
        </w:rPr>
        <w:t xml:space="preserve">he reason a higher rate has been applied to the </w:t>
      </w:r>
      <w:r w:rsidR="003772B2" w:rsidRPr="003B7E3F">
        <w:rPr>
          <w:rFonts w:cs="Arial"/>
          <w:szCs w:val="22"/>
        </w:rPr>
        <w:t xml:space="preserve">UV Mining/Industrial </w:t>
      </w:r>
      <w:r w:rsidR="000E4412" w:rsidRPr="003B7E3F">
        <w:rPr>
          <w:rFonts w:cs="Arial"/>
          <w:szCs w:val="22"/>
        </w:rPr>
        <w:t>category land is to</w:t>
      </w:r>
      <w:r w:rsidR="0002647D" w:rsidRPr="003B7E3F">
        <w:rPr>
          <w:rFonts w:cs="Arial"/>
          <w:szCs w:val="22"/>
        </w:rPr>
        <w:t xml:space="preserve"> r</w:t>
      </w:r>
      <w:r w:rsidR="000E4412" w:rsidRPr="003B7E3F">
        <w:rPr>
          <w:rFonts w:cs="Arial"/>
          <w:szCs w:val="22"/>
        </w:rPr>
        <w:t xml:space="preserve">eflect the additional financial impact </w:t>
      </w:r>
      <w:r w:rsidR="0002647D" w:rsidRPr="003B7E3F">
        <w:rPr>
          <w:rFonts w:cs="Arial"/>
          <w:szCs w:val="22"/>
        </w:rPr>
        <w:t xml:space="preserve">mining and related industries have on </w:t>
      </w:r>
      <w:r w:rsidR="000E4412" w:rsidRPr="003B7E3F">
        <w:rPr>
          <w:rFonts w:cs="Arial"/>
          <w:szCs w:val="22"/>
        </w:rPr>
        <w:t>Shire infrastructure and services</w:t>
      </w:r>
      <w:r w:rsidR="0002647D" w:rsidRPr="003B7E3F">
        <w:rPr>
          <w:rFonts w:cs="Arial"/>
          <w:szCs w:val="22"/>
        </w:rPr>
        <w:t xml:space="preserve"> relevant to </w:t>
      </w:r>
      <w:r w:rsidR="007F5783">
        <w:rPr>
          <w:rFonts w:cs="Arial"/>
          <w:szCs w:val="22"/>
        </w:rPr>
        <w:t>other land use types.</w:t>
      </w:r>
    </w:p>
    <w:p w:rsidR="00153324" w:rsidRDefault="00153324" w:rsidP="00E50E2B">
      <w:pPr>
        <w:tabs>
          <w:tab w:val="clear" w:pos="864"/>
          <w:tab w:val="clear" w:pos="1728"/>
        </w:tabs>
        <w:spacing w:after="80" w:line="269" w:lineRule="auto"/>
        <w:ind w:left="-142"/>
        <w:rPr>
          <w:rFonts w:cs="Arial"/>
          <w:szCs w:val="22"/>
        </w:rPr>
      </w:pPr>
    </w:p>
    <w:p w:rsidR="00A5713B" w:rsidRDefault="000E4412" w:rsidP="00E50E2B">
      <w:pPr>
        <w:tabs>
          <w:tab w:val="clear" w:pos="864"/>
          <w:tab w:val="clear" w:pos="1728"/>
        </w:tabs>
        <w:spacing w:after="80" w:line="269" w:lineRule="auto"/>
        <w:ind w:left="-142"/>
        <w:rPr>
          <w:rFonts w:cs="Arial"/>
          <w:szCs w:val="22"/>
        </w:rPr>
      </w:pPr>
      <w:r w:rsidRPr="003B7E3F">
        <w:rPr>
          <w:rFonts w:cs="Arial"/>
          <w:szCs w:val="22"/>
        </w:rPr>
        <w:t xml:space="preserve">The objective is to raise </w:t>
      </w:r>
      <w:r w:rsidR="00A448E5" w:rsidRPr="003B7E3F">
        <w:rPr>
          <w:rFonts w:cs="Arial"/>
          <w:szCs w:val="22"/>
        </w:rPr>
        <w:t xml:space="preserve">a higher level of </w:t>
      </w:r>
      <w:r w:rsidR="0002647D" w:rsidRPr="003B7E3F">
        <w:rPr>
          <w:rFonts w:cs="Arial"/>
          <w:szCs w:val="22"/>
        </w:rPr>
        <w:t xml:space="preserve">rate </w:t>
      </w:r>
      <w:r w:rsidRPr="003B7E3F">
        <w:rPr>
          <w:rFonts w:cs="Arial"/>
          <w:szCs w:val="22"/>
        </w:rPr>
        <w:t xml:space="preserve">revenue </w:t>
      </w:r>
      <w:r w:rsidR="00A448E5" w:rsidRPr="003B7E3F">
        <w:rPr>
          <w:rFonts w:cs="Arial"/>
          <w:szCs w:val="22"/>
        </w:rPr>
        <w:t xml:space="preserve">from mining and related infrastructure properties than from other UV </w:t>
      </w:r>
      <w:r w:rsidR="007F5783">
        <w:rPr>
          <w:rFonts w:cs="Arial"/>
          <w:szCs w:val="22"/>
        </w:rPr>
        <w:t xml:space="preserve">General </w:t>
      </w:r>
      <w:r w:rsidR="00A448E5" w:rsidRPr="003B7E3F">
        <w:rPr>
          <w:rFonts w:cs="Arial"/>
          <w:szCs w:val="22"/>
        </w:rPr>
        <w:t xml:space="preserve">category properties </w:t>
      </w:r>
      <w:r w:rsidRPr="003B7E3F">
        <w:rPr>
          <w:rFonts w:cs="Arial"/>
          <w:szCs w:val="22"/>
        </w:rPr>
        <w:t xml:space="preserve">to contribute toward </w:t>
      </w:r>
      <w:r w:rsidR="00A5713B" w:rsidRPr="003B7E3F">
        <w:rPr>
          <w:rFonts w:cs="Arial"/>
          <w:szCs w:val="22"/>
        </w:rPr>
        <w:t xml:space="preserve">current and future </w:t>
      </w:r>
      <w:r w:rsidRPr="003B7E3F">
        <w:rPr>
          <w:rFonts w:cs="Arial"/>
          <w:szCs w:val="22"/>
        </w:rPr>
        <w:t xml:space="preserve">costs associated with </w:t>
      </w:r>
      <w:r w:rsidR="0002647D" w:rsidRPr="003B7E3F">
        <w:rPr>
          <w:rFonts w:cs="Arial"/>
          <w:szCs w:val="22"/>
        </w:rPr>
        <w:t xml:space="preserve">the provision of </w:t>
      </w:r>
      <w:r w:rsidR="003772B2" w:rsidRPr="003B7E3F">
        <w:rPr>
          <w:rFonts w:cs="Arial"/>
          <w:szCs w:val="22"/>
        </w:rPr>
        <w:t xml:space="preserve">civil infrastructure </w:t>
      </w:r>
      <w:r w:rsidR="00651C24" w:rsidRPr="003B7E3F">
        <w:rPr>
          <w:rFonts w:cs="Arial"/>
          <w:szCs w:val="22"/>
        </w:rPr>
        <w:t>f</w:t>
      </w:r>
      <w:r w:rsidR="003772B2" w:rsidRPr="003B7E3F">
        <w:rPr>
          <w:rFonts w:cs="Arial"/>
          <w:szCs w:val="22"/>
        </w:rPr>
        <w:t xml:space="preserve">or services and facilities </w:t>
      </w:r>
      <w:r w:rsidR="006E7145" w:rsidRPr="003B7E3F">
        <w:rPr>
          <w:rFonts w:cs="Arial"/>
          <w:szCs w:val="22"/>
        </w:rPr>
        <w:t xml:space="preserve">including, but not limited to, </w:t>
      </w:r>
      <w:r w:rsidR="0002647D" w:rsidRPr="003B7E3F">
        <w:rPr>
          <w:rFonts w:cs="Arial"/>
          <w:szCs w:val="22"/>
        </w:rPr>
        <w:t>transport</w:t>
      </w:r>
      <w:r w:rsidR="006E7145" w:rsidRPr="003B7E3F">
        <w:rPr>
          <w:rFonts w:cs="Arial"/>
          <w:szCs w:val="22"/>
        </w:rPr>
        <w:t>, recreation</w:t>
      </w:r>
      <w:r w:rsidR="0002647D" w:rsidRPr="003B7E3F">
        <w:rPr>
          <w:rFonts w:cs="Arial"/>
          <w:szCs w:val="22"/>
        </w:rPr>
        <w:t xml:space="preserve">, community </w:t>
      </w:r>
      <w:r w:rsidR="006E7145" w:rsidRPr="003B7E3F">
        <w:rPr>
          <w:rFonts w:cs="Arial"/>
          <w:szCs w:val="22"/>
        </w:rPr>
        <w:t xml:space="preserve">and leisure facilities, waste </w:t>
      </w:r>
      <w:r w:rsidR="0002647D" w:rsidRPr="003B7E3F">
        <w:rPr>
          <w:rFonts w:cs="Arial"/>
          <w:szCs w:val="22"/>
        </w:rPr>
        <w:t>management</w:t>
      </w:r>
      <w:r w:rsidR="006E7145" w:rsidRPr="003B7E3F">
        <w:rPr>
          <w:rFonts w:cs="Arial"/>
          <w:szCs w:val="22"/>
        </w:rPr>
        <w:t xml:space="preserve"> and planning and development costs</w:t>
      </w:r>
      <w:r w:rsidR="003220B2" w:rsidRPr="003B7E3F">
        <w:rPr>
          <w:rFonts w:cs="Arial"/>
          <w:szCs w:val="22"/>
        </w:rPr>
        <w:t xml:space="preserve">. </w:t>
      </w:r>
    </w:p>
    <w:p w:rsidR="007405F0" w:rsidRDefault="007405F0" w:rsidP="00E50E2B">
      <w:pPr>
        <w:tabs>
          <w:tab w:val="clear" w:pos="864"/>
          <w:tab w:val="clear" w:pos="1728"/>
        </w:tabs>
        <w:spacing w:after="80" w:line="269" w:lineRule="auto"/>
        <w:ind w:left="-142"/>
        <w:rPr>
          <w:rFonts w:cs="Arial"/>
          <w:szCs w:val="22"/>
        </w:rPr>
      </w:pPr>
    </w:p>
    <w:p w:rsidR="00E94FC5" w:rsidRDefault="007405F0" w:rsidP="007405F0">
      <w:pPr>
        <w:tabs>
          <w:tab w:val="clear" w:pos="864"/>
          <w:tab w:val="clear" w:pos="1728"/>
        </w:tabs>
        <w:spacing w:after="120" w:line="269" w:lineRule="auto"/>
        <w:rPr>
          <w:rFonts w:cs="Arial"/>
          <w:szCs w:val="22"/>
        </w:rPr>
      </w:pPr>
      <w:r>
        <w:rPr>
          <w:rFonts w:cs="Arial"/>
          <w:b/>
          <w:i/>
          <w:color w:val="1F497D" w:themeColor="text2"/>
          <w:szCs w:val="22"/>
        </w:rPr>
        <w:t xml:space="preserve">UV </w:t>
      </w:r>
      <w:r w:rsidR="005A3922">
        <w:rPr>
          <w:rFonts w:cs="Arial"/>
          <w:b/>
          <w:i/>
          <w:color w:val="1F497D" w:themeColor="text2"/>
          <w:szCs w:val="22"/>
        </w:rPr>
        <w:t>Pastoral</w:t>
      </w:r>
    </w:p>
    <w:tbl>
      <w:tblPr>
        <w:tblStyle w:val="TableGrid"/>
        <w:tblW w:w="9026" w:type="dxa"/>
        <w:tblInd w:w="-5" w:type="dxa"/>
        <w:tblLook w:val="04A0" w:firstRow="1" w:lastRow="0" w:firstColumn="1" w:lastColumn="0" w:noHBand="0" w:noVBand="1"/>
      </w:tblPr>
      <w:tblGrid>
        <w:gridCol w:w="2410"/>
        <w:gridCol w:w="1701"/>
        <w:gridCol w:w="3119"/>
        <w:gridCol w:w="1796"/>
      </w:tblGrid>
      <w:tr w:rsidR="00E94FC5" w:rsidTr="00E94FC5">
        <w:tc>
          <w:tcPr>
            <w:tcW w:w="2410" w:type="dxa"/>
          </w:tcPr>
          <w:p w:rsidR="00E94FC5" w:rsidRPr="00A40A52" w:rsidRDefault="00E94FC5" w:rsidP="0044177B">
            <w:pPr>
              <w:tabs>
                <w:tab w:val="clear" w:pos="864"/>
                <w:tab w:val="clear" w:pos="1728"/>
              </w:tabs>
              <w:spacing w:before="240" w:after="120" w:line="269" w:lineRule="auto"/>
              <w:rPr>
                <w:rFonts w:cs="Arial"/>
                <w:b/>
                <w:sz w:val="18"/>
                <w:szCs w:val="18"/>
              </w:rPr>
            </w:pPr>
            <w:r w:rsidRPr="00A40A52">
              <w:rPr>
                <w:rFonts w:cs="Arial"/>
                <w:b/>
                <w:color w:val="1F497D" w:themeColor="text2"/>
                <w:sz w:val="18"/>
                <w:szCs w:val="18"/>
              </w:rPr>
              <w:t>DIFFERENTIAL RATE</w:t>
            </w:r>
          </w:p>
        </w:tc>
        <w:tc>
          <w:tcPr>
            <w:tcW w:w="1701" w:type="dxa"/>
          </w:tcPr>
          <w:p w:rsidR="00E94FC5" w:rsidRPr="00A40A52" w:rsidRDefault="00E94FC5" w:rsidP="0044177B">
            <w:pPr>
              <w:tabs>
                <w:tab w:val="clear" w:pos="864"/>
                <w:tab w:val="clear" w:pos="1728"/>
              </w:tabs>
              <w:spacing w:before="240" w:after="120" w:line="269" w:lineRule="auto"/>
              <w:rPr>
                <w:rFonts w:cs="Arial"/>
                <w:b/>
                <w:sz w:val="18"/>
                <w:szCs w:val="18"/>
              </w:rPr>
            </w:pPr>
            <w:r w:rsidRPr="00A40A52">
              <w:rPr>
                <w:rFonts w:cs="Arial"/>
                <w:b/>
                <w:color w:val="1F497D" w:themeColor="text2"/>
                <w:sz w:val="18"/>
                <w:szCs w:val="18"/>
              </w:rPr>
              <w:t>RATE IN THE $</w:t>
            </w:r>
          </w:p>
        </w:tc>
        <w:tc>
          <w:tcPr>
            <w:tcW w:w="3119" w:type="dxa"/>
          </w:tcPr>
          <w:p w:rsidR="00E94FC5" w:rsidRPr="00A40A52" w:rsidRDefault="00E94FC5" w:rsidP="0044177B">
            <w:pPr>
              <w:tabs>
                <w:tab w:val="clear" w:pos="864"/>
                <w:tab w:val="clear" w:pos="1728"/>
              </w:tabs>
              <w:spacing w:before="240" w:after="120" w:line="269" w:lineRule="auto"/>
              <w:rPr>
                <w:rFonts w:cs="Arial"/>
                <w:b/>
                <w:sz w:val="18"/>
                <w:szCs w:val="18"/>
              </w:rPr>
            </w:pPr>
            <w:r w:rsidRPr="00A40A52">
              <w:rPr>
                <w:rFonts w:cs="Arial"/>
                <w:b/>
                <w:color w:val="1F497D" w:themeColor="text2"/>
                <w:sz w:val="18"/>
                <w:szCs w:val="18"/>
              </w:rPr>
              <w:t>GENERAL MINIMUM PAYMENT $</w:t>
            </w:r>
          </w:p>
        </w:tc>
        <w:tc>
          <w:tcPr>
            <w:tcW w:w="1796" w:type="dxa"/>
          </w:tcPr>
          <w:p w:rsidR="00E94FC5" w:rsidRPr="00A40A52" w:rsidRDefault="00E94FC5" w:rsidP="0044177B">
            <w:pPr>
              <w:tabs>
                <w:tab w:val="clear" w:pos="864"/>
                <w:tab w:val="clear" w:pos="1728"/>
              </w:tabs>
              <w:spacing w:before="240" w:after="120" w:line="269" w:lineRule="auto"/>
              <w:rPr>
                <w:rFonts w:cs="Arial"/>
                <w:b/>
                <w:szCs w:val="22"/>
              </w:rPr>
            </w:pPr>
            <w:r w:rsidRPr="00A40A52">
              <w:rPr>
                <w:rFonts w:cs="Arial"/>
                <w:b/>
                <w:color w:val="1F497D" w:themeColor="text2"/>
                <w:sz w:val="18"/>
                <w:szCs w:val="18"/>
              </w:rPr>
              <w:t>LESSER MINIMUM PAYMENT $</w:t>
            </w:r>
          </w:p>
        </w:tc>
      </w:tr>
      <w:tr w:rsidR="00E94FC5" w:rsidTr="00E94FC5">
        <w:tc>
          <w:tcPr>
            <w:tcW w:w="2410" w:type="dxa"/>
          </w:tcPr>
          <w:p w:rsidR="00E94FC5" w:rsidRPr="00A40A52" w:rsidRDefault="00E94FC5" w:rsidP="005A3922">
            <w:pPr>
              <w:tabs>
                <w:tab w:val="clear" w:pos="864"/>
                <w:tab w:val="clear" w:pos="1728"/>
              </w:tabs>
              <w:spacing w:before="240" w:after="120" w:line="269" w:lineRule="auto"/>
              <w:jc w:val="center"/>
              <w:rPr>
                <w:rFonts w:cs="Arial"/>
                <w:sz w:val="18"/>
                <w:szCs w:val="18"/>
              </w:rPr>
            </w:pPr>
            <w:r>
              <w:rPr>
                <w:rFonts w:cs="Arial"/>
                <w:sz w:val="18"/>
                <w:szCs w:val="18"/>
              </w:rPr>
              <w:t xml:space="preserve">UV </w:t>
            </w:r>
            <w:r w:rsidR="005A3922">
              <w:rPr>
                <w:rFonts w:cs="Arial"/>
                <w:sz w:val="18"/>
                <w:szCs w:val="18"/>
              </w:rPr>
              <w:t>Tourism</w:t>
            </w:r>
          </w:p>
        </w:tc>
        <w:tc>
          <w:tcPr>
            <w:tcW w:w="1701" w:type="dxa"/>
          </w:tcPr>
          <w:p w:rsidR="00E94FC5" w:rsidRPr="00A40A52" w:rsidRDefault="00E94FC5" w:rsidP="005A3922">
            <w:pPr>
              <w:tabs>
                <w:tab w:val="clear" w:pos="864"/>
                <w:tab w:val="clear" w:pos="1728"/>
              </w:tabs>
              <w:spacing w:before="240" w:after="120" w:line="269" w:lineRule="auto"/>
              <w:jc w:val="center"/>
              <w:rPr>
                <w:rFonts w:cs="Arial"/>
                <w:sz w:val="18"/>
                <w:szCs w:val="18"/>
              </w:rPr>
            </w:pPr>
            <w:r w:rsidRPr="00A40A52">
              <w:rPr>
                <w:rFonts w:cs="Arial"/>
                <w:sz w:val="18"/>
                <w:szCs w:val="18"/>
              </w:rPr>
              <w:t>0</w:t>
            </w:r>
            <w:r>
              <w:rPr>
                <w:rFonts w:cs="Arial"/>
                <w:sz w:val="18"/>
                <w:szCs w:val="18"/>
              </w:rPr>
              <w:t>.</w:t>
            </w:r>
            <w:r w:rsidR="005A3922">
              <w:rPr>
                <w:rFonts w:cs="Arial"/>
                <w:sz w:val="18"/>
                <w:szCs w:val="18"/>
              </w:rPr>
              <w:t>165704</w:t>
            </w:r>
          </w:p>
        </w:tc>
        <w:tc>
          <w:tcPr>
            <w:tcW w:w="3119" w:type="dxa"/>
          </w:tcPr>
          <w:p w:rsidR="00E94FC5" w:rsidRPr="00A40A52" w:rsidRDefault="00E94FC5" w:rsidP="005A3922">
            <w:pPr>
              <w:tabs>
                <w:tab w:val="clear" w:pos="864"/>
                <w:tab w:val="clear" w:pos="1728"/>
              </w:tabs>
              <w:spacing w:before="240" w:after="120" w:line="269" w:lineRule="auto"/>
              <w:jc w:val="center"/>
              <w:rPr>
                <w:rFonts w:cs="Arial"/>
                <w:sz w:val="18"/>
                <w:szCs w:val="18"/>
              </w:rPr>
            </w:pPr>
            <w:r w:rsidRPr="00A40A52">
              <w:rPr>
                <w:rFonts w:cs="Arial"/>
                <w:sz w:val="18"/>
                <w:szCs w:val="18"/>
              </w:rPr>
              <w:t>1</w:t>
            </w:r>
            <w:r w:rsidR="005A3922">
              <w:rPr>
                <w:rFonts w:cs="Arial"/>
                <w:sz w:val="18"/>
                <w:szCs w:val="18"/>
              </w:rPr>
              <w:t>,150.00</w:t>
            </w:r>
          </w:p>
        </w:tc>
        <w:tc>
          <w:tcPr>
            <w:tcW w:w="1796" w:type="dxa"/>
          </w:tcPr>
          <w:p w:rsidR="00E94FC5" w:rsidRPr="00A40A52" w:rsidRDefault="00E94FC5" w:rsidP="0044177B">
            <w:pPr>
              <w:tabs>
                <w:tab w:val="clear" w:pos="864"/>
                <w:tab w:val="clear" w:pos="1728"/>
              </w:tabs>
              <w:spacing w:before="240" w:after="120" w:line="269" w:lineRule="auto"/>
              <w:jc w:val="center"/>
              <w:rPr>
                <w:rFonts w:cs="Arial"/>
                <w:sz w:val="18"/>
                <w:szCs w:val="18"/>
              </w:rPr>
            </w:pPr>
            <w:r w:rsidRPr="00A40A52">
              <w:rPr>
                <w:rFonts w:cs="Arial"/>
                <w:sz w:val="18"/>
                <w:szCs w:val="18"/>
              </w:rPr>
              <w:t>N/A</w:t>
            </w:r>
          </w:p>
        </w:tc>
      </w:tr>
    </w:tbl>
    <w:p w:rsidR="00E94FC5" w:rsidRDefault="00E94FC5" w:rsidP="00E94FC5">
      <w:pPr>
        <w:pStyle w:val="Default"/>
        <w:jc w:val="both"/>
        <w:rPr>
          <w:color w:val="auto"/>
          <w:sz w:val="22"/>
          <w:szCs w:val="22"/>
          <w:lang w:eastAsia="en-US"/>
        </w:rPr>
      </w:pPr>
    </w:p>
    <w:p w:rsidR="007405F0" w:rsidRDefault="005A3922" w:rsidP="00825D9E">
      <w:pPr>
        <w:tabs>
          <w:tab w:val="clear" w:pos="864"/>
          <w:tab w:val="clear" w:pos="1728"/>
        </w:tabs>
        <w:spacing w:after="80" w:line="269" w:lineRule="auto"/>
        <w:ind w:left="-142"/>
        <w:rPr>
          <w:rFonts w:cs="Arial"/>
          <w:szCs w:val="22"/>
        </w:rPr>
      </w:pPr>
      <w:r w:rsidRPr="003B7E3F">
        <w:rPr>
          <w:szCs w:val="22"/>
        </w:rPr>
        <w:t>This rate is applicable to tourism ventures located within the Shire issued with an unimproved valuation. The land is predominately used for providing a tourism service, including Caravan Parks and Holiday Accommodation.</w:t>
      </w:r>
    </w:p>
    <w:p w:rsidR="005A3922" w:rsidRDefault="005A3922" w:rsidP="00825D9E">
      <w:pPr>
        <w:tabs>
          <w:tab w:val="clear" w:pos="864"/>
          <w:tab w:val="clear" w:pos="1728"/>
        </w:tabs>
        <w:spacing w:after="80" w:line="269" w:lineRule="auto"/>
        <w:ind w:left="-142"/>
        <w:rPr>
          <w:rFonts w:cs="Arial"/>
          <w:szCs w:val="22"/>
        </w:rPr>
      </w:pPr>
    </w:p>
    <w:p w:rsidR="005A3922" w:rsidRPr="003B7E3F" w:rsidRDefault="005A3922" w:rsidP="00825D9E">
      <w:pPr>
        <w:tabs>
          <w:tab w:val="clear" w:pos="864"/>
          <w:tab w:val="clear" w:pos="1728"/>
        </w:tabs>
        <w:spacing w:after="80" w:line="269" w:lineRule="auto"/>
        <w:ind w:left="-142"/>
        <w:rPr>
          <w:rFonts w:cs="Arial"/>
          <w:szCs w:val="22"/>
        </w:rPr>
      </w:pPr>
      <w:r w:rsidRPr="003B7E3F">
        <w:rPr>
          <w:rFonts w:cs="Arial"/>
          <w:szCs w:val="22"/>
        </w:rPr>
        <w:t>The reason for a lower rate applied to the UV Tourism category, as compared to UV Mining/Industrial, is to reflect the lower level of impact these activities have on general infrastructure and facilities including road infrastructure, recreation facilities and the permanent nature of the business activity relevant to mining and related industry.</w:t>
      </w:r>
    </w:p>
    <w:p w:rsidR="005A3922" w:rsidRDefault="005A3922" w:rsidP="005A3922">
      <w:pPr>
        <w:tabs>
          <w:tab w:val="clear" w:pos="864"/>
          <w:tab w:val="clear" w:pos="1728"/>
        </w:tabs>
        <w:spacing w:after="80" w:line="269" w:lineRule="auto"/>
        <w:rPr>
          <w:rFonts w:cs="Arial"/>
          <w:szCs w:val="22"/>
        </w:rPr>
      </w:pPr>
    </w:p>
    <w:p w:rsidR="005A3922" w:rsidRDefault="005A3922" w:rsidP="005A3922">
      <w:pPr>
        <w:tabs>
          <w:tab w:val="clear" w:pos="864"/>
          <w:tab w:val="clear" w:pos="1728"/>
        </w:tabs>
        <w:spacing w:after="80" w:line="269" w:lineRule="auto"/>
        <w:rPr>
          <w:rFonts w:cs="Arial"/>
          <w:szCs w:val="22"/>
        </w:rPr>
      </w:pPr>
    </w:p>
    <w:p w:rsidR="005A3922" w:rsidRDefault="005A3922" w:rsidP="005A3922">
      <w:pPr>
        <w:tabs>
          <w:tab w:val="clear" w:pos="864"/>
          <w:tab w:val="clear" w:pos="1728"/>
        </w:tabs>
        <w:spacing w:after="80" w:line="269" w:lineRule="auto"/>
        <w:rPr>
          <w:rFonts w:cs="Arial"/>
          <w:szCs w:val="22"/>
        </w:rPr>
      </w:pPr>
    </w:p>
    <w:p w:rsidR="005A3922" w:rsidRPr="003B7E3F" w:rsidRDefault="005A3922" w:rsidP="005A3922">
      <w:pPr>
        <w:pStyle w:val="Heading3"/>
        <w:tabs>
          <w:tab w:val="left" w:pos="851"/>
        </w:tabs>
        <w:spacing w:after="120" w:line="269" w:lineRule="auto"/>
        <w:rPr>
          <w:rFonts w:ascii="Arial" w:hAnsi="Arial"/>
          <w:bCs w:val="0"/>
          <w:i w:val="0"/>
          <w:spacing w:val="0"/>
          <w:sz w:val="24"/>
          <w:szCs w:val="22"/>
          <w:lang w:eastAsia="en-US"/>
        </w:rPr>
      </w:pPr>
      <w:r w:rsidRPr="003B7E3F">
        <w:rPr>
          <w:rFonts w:ascii="Arial" w:hAnsi="Arial"/>
          <w:bCs w:val="0"/>
          <w:i w:val="0"/>
          <w:spacing w:val="0"/>
          <w:sz w:val="24"/>
          <w:szCs w:val="22"/>
          <w:lang w:eastAsia="en-US"/>
        </w:rPr>
        <w:t xml:space="preserve">SUPPORTING STATEMENT OF RATING INFORMATION </w:t>
      </w:r>
      <w:r>
        <w:rPr>
          <w:rFonts w:ascii="Arial" w:hAnsi="Arial"/>
          <w:bCs w:val="0"/>
          <w:i w:val="0"/>
          <w:spacing w:val="0"/>
          <w:sz w:val="24"/>
          <w:szCs w:val="22"/>
          <w:lang w:eastAsia="en-US"/>
        </w:rPr>
        <w:t>2018/19</w:t>
      </w:r>
      <w:r w:rsidRPr="003B7E3F">
        <w:rPr>
          <w:rFonts w:ascii="Arial" w:hAnsi="Arial"/>
          <w:bCs w:val="0"/>
          <w:i w:val="0"/>
          <w:spacing w:val="0"/>
          <w:sz w:val="24"/>
          <w:szCs w:val="22"/>
          <w:lang w:eastAsia="en-US"/>
        </w:rPr>
        <w:t xml:space="preserve"> (Continued)</w:t>
      </w:r>
    </w:p>
    <w:p w:rsidR="005A3922" w:rsidRPr="003B7E3F" w:rsidRDefault="005A3922" w:rsidP="005A3922">
      <w:pPr>
        <w:tabs>
          <w:tab w:val="clear" w:pos="864"/>
          <w:tab w:val="clear" w:pos="1728"/>
        </w:tabs>
        <w:spacing w:after="80" w:line="269" w:lineRule="auto"/>
        <w:rPr>
          <w:rFonts w:cs="Arial"/>
          <w:szCs w:val="22"/>
        </w:rPr>
      </w:pPr>
      <w:r w:rsidRPr="003B7E3F">
        <w:rPr>
          <w:rFonts w:cs="Arial"/>
          <w:szCs w:val="22"/>
        </w:rPr>
        <w:t>The reason for a higher rate applied to the UV Tourism category as compared to UV Pastoral is to achieve an average rate yield more comparable to other Tourism properties with a GRV valuation.</w:t>
      </w:r>
    </w:p>
    <w:p w:rsidR="00FB1971" w:rsidRDefault="005A3922" w:rsidP="005A3922">
      <w:pPr>
        <w:tabs>
          <w:tab w:val="clear" w:pos="864"/>
          <w:tab w:val="clear" w:pos="1728"/>
        </w:tabs>
        <w:spacing w:after="80" w:line="269" w:lineRule="auto"/>
        <w:rPr>
          <w:rFonts w:cs="Arial"/>
          <w:szCs w:val="22"/>
        </w:rPr>
      </w:pPr>
      <w:r w:rsidRPr="003B7E3F">
        <w:rPr>
          <w:rFonts w:cs="Arial"/>
          <w:szCs w:val="22"/>
        </w:rPr>
        <w:t>The objective is to raise less revenue from UV Tourism properties than Mining/Industrial properties but more than UV Pastoral properties.</w:t>
      </w:r>
    </w:p>
    <w:p w:rsidR="00FB1971" w:rsidRDefault="00FB1971" w:rsidP="002C0522">
      <w:pPr>
        <w:tabs>
          <w:tab w:val="clear" w:pos="864"/>
          <w:tab w:val="clear" w:pos="1728"/>
        </w:tabs>
        <w:spacing w:after="80" w:line="269" w:lineRule="auto"/>
        <w:rPr>
          <w:rFonts w:cs="Arial"/>
          <w:szCs w:val="22"/>
        </w:rPr>
      </w:pPr>
    </w:p>
    <w:p w:rsidR="005A3922" w:rsidRDefault="005A3922" w:rsidP="005A3922">
      <w:pPr>
        <w:tabs>
          <w:tab w:val="clear" w:pos="864"/>
          <w:tab w:val="clear" w:pos="1728"/>
        </w:tabs>
        <w:spacing w:after="120" w:line="269" w:lineRule="auto"/>
        <w:rPr>
          <w:rFonts w:cs="Arial"/>
          <w:szCs w:val="22"/>
        </w:rPr>
      </w:pPr>
      <w:r>
        <w:rPr>
          <w:rFonts w:cs="Arial"/>
          <w:b/>
          <w:i/>
          <w:color w:val="1F497D" w:themeColor="text2"/>
          <w:szCs w:val="22"/>
        </w:rPr>
        <w:t>UV Tourism</w:t>
      </w:r>
    </w:p>
    <w:tbl>
      <w:tblPr>
        <w:tblStyle w:val="TableGrid"/>
        <w:tblW w:w="9026" w:type="dxa"/>
        <w:tblInd w:w="-5" w:type="dxa"/>
        <w:tblLook w:val="04A0" w:firstRow="1" w:lastRow="0" w:firstColumn="1" w:lastColumn="0" w:noHBand="0" w:noVBand="1"/>
      </w:tblPr>
      <w:tblGrid>
        <w:gridCol w:w="2410"/>
        <w:gridCol w:w="1701"/>
        <w:gridCol w:w="3119"/>
        <w:gridCol w:w="1796"/>
      </w:tblGrid>
      <w:tr w:rsidR="005A3922" w:rsidTr="004D18CF">
        <w:tc>
          <w:tcPr>
            <w:tcW w:w="2410" w:type="dxa"/>
          </w:tcPr>
          <w:p w:rsidR="005A3922" w:rsidRPr="00A40A52" w:rsidRDefault="005A3922" w:rsidP="004D18CF">
            <w:pPr>
              <w:tabs>
                <w:tab w:val="clear" w:pos="864"/>
                <w:tab w:val="clear" w:pos="1728"/>
              </w:tabs>
              <w:spacing w:before="240" w:after="120" w:line="269" w:lineRule="auto"/>
              <w:rPr>
                <w:rFonts w:cs="Arial"/>
                <w:b/>
                <w:sz w:val="18"/>
                <w:szCs w:val="18"/>
              </w:rPr>
            </w:pPr>
            <w:r w:rsidRPr="00A40A52">
              <w:rPr>
                <w:rFonts w:cs="Arial"/>
                <w:b/>
                <w:color w:val="1F497D" w:themeColor="text2"/>
                <w:sz w:val="18"/>
                <w:szCs w:val="18"/>
              </w:rPr>
              <w:t>DIFFERENTIAL RATE</w:t>
            </w:r>
          </w:p>
        </w:tc>
        <w:tc>
          <w:tcPr>
            <w:tcW w:w="1701" w:type="dxa"/>
          </w:tcPr>
          <w:p w:rsidR="005A3922" w:rsidRPr="00A40A52" w:rsidRDefault="005A3922" w:rsidP="004D18CF">
            <w:pPr>
              <w:tabs>
                <w:tab w:val="clear" w:pos="864"/>
                <w:tab w:val="clear" w:pos="1728"/>
              </w:tabs>
              <w:spacing w:before="240" w:after="120" w:line="269" w:lineRule="auto"/>
              <w:rPr>
                <w:rFonts w:cs="Arial"/>
                <w:b/>
                <w:sz w:val="18"/>
                <w:szCs w:val="18"/>
              </w:rPr>
            </w:pPr>
            <w:r w:rsidRPr="00A40A52">
              <w:rPr>
                <w:rFonts w:cs="Arial"/>
                <w:b/>
                <w:color w:val="1F497D" w:themeColor="text2"/>
                <w:sz w:val="18"/>
                <w:szCs w:val="18"/>
              </w:rPr>
              <w:t>RATE IN THE $</w:t>
            </w:r>
          </w:p>
        </w:tc>
        <w:tc>
          <w:tcPr>
            <w:tcW w:w="3119" w:type="dxa"/>
          </w:tcPr>
          <w:p w:rsidR="005A3922" w:rsidRPr="00A40A52" w:rsidRDefault="005A3922" w:rsidP="004D18CF">
            <w:pPr>
              <w:tabs>
                <w:tab w:val="clear" w:pos="864"/>
                <w:tab w:val="clear" w:pos="1728"/>
              </w:tabs>
              <w:spacing w:before="240" w:after="120" w:line="269" w:lineRule="auto"/>
              <w:rPr>
                <w:rFonts w:cs="Arial"/>
                <w:b/>
                <w:sz w:val="18"/>
                <w:szCs w:val="18"/>
              </w:rPr>
            </w:pPr>
            <w:r w:rsidRPr="00A40A52">
              <w:rPr>
                <w:rFonts w:cs="Arial"/>
                <w:b/>
                <w:color w:val="1F497D" w:themeColor="text2"/>
                <w:sz w:val="18"/>
                <w:szCs w:val="18"/>
              </w:rPr>
              <w:t>GENERAL MINIMUM PAYMENT $</w:t>
            </w:r>
          </w:p>
        </w:tc>
        <w:tc>
          <w:tcPr>
            <w:tcW w:w="1796" w:type="dxa"/>
          </w:tcPr>
          <w:p w:rsidR="005A3922" w:rsidRPr="00A40A52" w:rsidRDefault="005A3922" w:rsidP="004D18CF">
            <w:pPr>
              <w:tabs>
                <w:tab w:val="clear" w:pos="864"/>
                <w:tab w:val="clear" w:pos="1728"/>
              </w:tabs>
              <w:spacing w:before="240" w:after="120" w:line="269" w:lineRule="auto"/>
              <w:rPr>
                <w:rFonts w:cs="Arial"/>
                <w:b/>
                <w:szCs w:val="22"/>
              </w:rPr>
            </w:pPr>
            <w:r w:rsidRPr="00A40A52">
              <w:rPr>
                <w:rFonts w:cs="Arial"/>
                <w:b/>
                <w:color w:val="1F497D" w:themeColor="text2"/>
                <w:sz w:val="18"/>
                <w:szCs w:val="18"/>
              </w:rPr>
              <w:t>LESSER MINIMUM PAYMENT $</w:t>
            </w:r>
          </w:p>
        </w:tc>
      </w:tr>
      <w:tr w:rsidR="005A3922" w:rsidTr="004D18CF">
        <w:tc>
          <w:tcPr>
            <w:tcW w:w="2410" w:type="dxa"/>
          </w:tcPr>
          <w:p w:rsidR="005A3922" w:rsidRPr="00A40A52" w:rsidRDefault="005A3922" w:rsidP="005A3922">
            <w:pPr>
              <w:tabs>
                <w:tab w:val="clear" w:pos="864"/>
                <w:tab w:val="clear" w:pos="1728"/>
              </w:tabs>
              <w:spacing w:before="240" w:after="120" w:line="269" w:lineRule="auto"/>
              <w:jc w:val="center"/>
              <w:rPr>
                <w:rFonts w:cs="Arial"/>
                <w:sz w:val="18"/>
                <w:szCs w:val="18"/>
              </w:rPr>
            </w:pPr>
            <w:r>
              <w:rPr>
                <w:rFonts w:cs="Arial"/>
                <w:sz w:val="18"/>
                <w:szCs w:val="18"/>
              </w:rPr>
              <w:t>UV Pastoral</w:t>
            </w:r>
          </w:p>
        </w:tc>
        <w:tc>
          <w:tcPr>
            <w:tcW w:w="1701" w:type="dxa"/>
          </w:tcPr>
          <w:p w:rsidR="005A3922" w:rsidRPr="00A40A52" w:rsidRDefault="005A3922" w:rsidP="005A3922">
            <w:pPr>
              <w:tabs>
                <w:tab w:val="clear" w:pos="864"/>
                <w:tab w:val="clear" w:pos="1728"/>
              </w:tabs>
              <w:spacing w:before="240" w:after="120" w:line="269" w:lineRule="auto"/>
              <w:jc w:val="center"/>
              <w:rPr>
                <w:rFonts w:cs="Arial"/>
                <w:sz w:val="18"/>
                <w:szCs w:val="18"/>
              </w:rPr>
            </w:pPr>
            <w:r w:rsidRPr="00A40A52">
              <w:rPr>
                <w:rFonts w:cs="Arial"/>
                <w:sz w:val="18"/>
                <w:szCs w:val="18"/>
              </w:rPr>
              <w:t>0</w:t>
            </w:r>
            <w:r>
              <w:rPr>
                <w:rFonts w:cs="Arial"/>
                <w:sz w:val="18"/>
                <w:szCs w:val="18"/>
              </w:rPr>
              <w:t>.060976</w:t>
            </w:r>
          </w:p>
        </w:tc>
        <w:tc>
          <w:tcPr>
            <w:tcW w:w="3119" w:type="dxa"/>
          </w:tcPr>
          <w:p w:rsidR="005A3922" w:rsidRPr="00A40A52" w:rsidRDefault="005A3922" w:rsidP="004D18CF">
            <w:pPr>
              <w:tabs>
                <w:tab w:val="clear" w:pos="864"/>
                <w:tab w:val="clear" w:pos="1728"/>
              </w:tabs>
              <w:spacing w:before="240" w:after="120" w:line="269" w:lineRule="auto"/>
              <w:jc w:val="center"/>
              <w:rPr>
                <w:rFonts w:cs="Arial"/>
                <w:sz w:val="18"/>
                <w:szCs w:val="18"/>
              </w:rPr>
            </w:pPr>
            <w:r w:rsidRPr="00A40A52">
              <w:rPr>
                <w:rFonts w:cs="Arial"/>
                <w:sz w:val="18"/>
                <w:szCs w:val="18"/>
              </w:rPr>
              <w:t>1</w:t>
            </w:r>
            <w:r>
              <w:rPr>
                <w:rFonts w:cs="Arial"/>
                <w:sz w:val="18"/>
                <w:szCs w:val="18"/>
              </w:rPr>
              <w:t>,150.00</w:t>
            </w:r>
          </w:p>
        </w:tc>
        <w:tc>
          <w:tcPr>
            <w:tcW w:w="1796" w:type="dxa"/>
          </w:tcPr>
          <w:p w:rsidR="005A3922" w:rsidRPr="00A40A52" w:rsidRDefault="005A3922" w:rsidP="004D18CF">
            <w:pPr>
              <w:tabs>
                <w:tab w:val="clear" w:pos="864"/>
                <w:tab w:val="clear" w:pos="1728"/>
              </w:tabs>
              <w:spacing w:before="240" w:after="120" w:line="269" w:lineRule="auto"/>
              <w:jc w:val="center"/>
              <w:rPr>
                <w:rFonts w:cs="Arial"/>
                <w:sz w:val="18"/>
                <w:szCs w:val="18"/>
              </w:rPr>
            </w:pPr>
            <w:r w:rsidRPr="00A40A52">
              <w:rPr>
                <w:rFonts w:cs="Arial"/>
                <w:sz w:val="18"/>
                <w:szCs w:val="18"/>
              </w:rPr>
              <w:t>N/A</w:t>
            </w:r>
          </w:p>
        </w:tc>
      </w:tr>
    </w:tbl>
    <w:p w:rsidR="005A3922" w:rsidRDefault="005A3922" w:rsidP="005A3922">
      <w:pPr>
        <w:pStyle w:val="Default"/>
        <w:jc w:val="both"/>
        <w:rPr>
          <w:color w:val="auto"/>
          <w:sz w:val="22"/>
          <w:szCs w:val="22"/>
          <w:lang w:eastAsia="en-US"/>
        </w:rPr>
      </w:pPr>
    </w:p>
    <w:p w:rsidR="005A3922" w:rsidRDefault="005A3922" w:rsidP="000D6758">
      <w:pPr>
        <w:tabs>
          <w:tab w:val="clear" w:pos="864"/>
          <w:tab w:val="clear" w:pos="1728"/>
        </w:tabs>
        <w:spacing w:after="120" w:line="269" w:lineRule="auto"/>
        <w:rPr>
          <w:rFonts w:cs="Arial"/>
          <w:b/>
          <w:i/>
          <w:color w:val="3A6097"/>
          <w:szCs w:val="22"/>
        </w:rPr>
      </w:pPr>
      <w:r w:rsidRPr="003B7E3F">
        <w:rPr>
          <w:szCs w:val="22"/>
        </w:rPr>
        <w:t>This rate is applicable to properties issued with pastoral leases granted by the State Government</w:t>
      </w:r>
      <w:r w:rsidR="00825D9E">
        <w:rPr>
          <w:rFonts w:cs="Arial"/>
          <w:b/>
          <w:i/>
          <w:color w:val="3A6097"/>
          <w:szCs w:val="22"/>
        </w:rPr>
        <w:t>.</w:t>
      </w:r>
    </w:p>
    <w:p w:rsidR="005A3922" w:rsidRPr="003B7E3F" w:rsidRDefault="005A3922" w:rsidP="005A3922">
      <w:pPr>
        <w:tabs>
          <w:tab w:val="clear" w:pos="864"/>
          <w:tab w:val="clear" w:pos="1728"/>
        </w:tabs>
        <w:spacing w:after="80" w:line="269" w:lineRule="auto"/>
        <w:rPr>
          <w:rFonts w:cs="Arial"/>
          <w:szCs w:val="22"/>
        </w:rPr>
      </w:pPr>
      <w:r w:rsidRPr="003B7E3F">
        <w:rPr>
          <w:rFonts w:cs="Arial"/>
          <w:szCs w:val="22"/>
        </w:rPr>
        <w:t>The reason for the lower rate applied to the UV Pastoral category is to:</w:t>
      </w:r>
    </w:p>
    <w:p w:rsidR="005A3922" w:rsidRPr="003B7E3F" w:rsidRDefault="005A3922" w:rsidP="005A3922">
      <w:pPr>
        <w:pStyle w:val="ListParagraph"/>
        <w:numPr>
          <w:ilvl w:val="0"/>
          <w:numId w:val="28"/>
        </w:numPr>
        <w:tabs>
          <w:tab w:val="clear" w:pos="864"/>
          <w:tab w:val="clear" w:pos="1728"/>
        </w:tabs>
        <w:spacing w:after="80" w:line="269" w:lineRule="auto"/>
        <w:rPr>
          <w:rFonts w:cs="Arial"/>
          <w:szCs w:val="22"/>
        </w:rPr>
      </w:pPr>
      <w:r w:rsidRPr="003B7E3F">
        <w:rPr>
          <w:rFonts w:cs="Arial"/>
          <w:szCs w:val="22"/>
        </w:rPr>
        <w:t>Recognise the impact of fluctuations in climatic conditions have on the financial capacity to pay;</w:t>
      </w:r>
    </w:p>
    <w:p w:rsidR="005A3922" w:rsidRPr="003B7E3F" w:rsidRDefault="005A3922" w:rsidP="005A3922">
      <w:pPr>
        <w:pStyle w:val="ListParagraph"/>
        <w:numPr>
          <w:ilvl w:val="0"/>
          <w:numId w:val="28"/>
        </w:numPr>
        <w:tabs>
          <w:tab w:val="clear" w:pos="864"/>
          <w:tab w:val="clear" w:pos="1728"/>
        </w:tabs>
        <w:spacing w:after="80" w:line="269" w:lineRule="auto"/>
        <w:rPr>
          <w:rFonts w:cs="Arial"/>
          <w:szCs w:val="22"/>
        </w:rPr>
      </w:pPr>
      <w:r w:rsidRPr="003B7E3F">
        <w:rPr>
          <w:rFonts w:cs="Arial"/>
          <w:szCs w:val="22"/>
        </w:rPr>
        <w:t xml:space="preserve">The lower level of impact pastoral activities generally have on infrastructure and facilities such as road infrastructure and recreation facilities; and </w:t>
      </w:r>
    </w:p>
    <w:p w:rsidR="005A3922" w:rsidRPr="003B7E3F" w:rsidRDefault="005A3922" w:rsidP="005A3922">
      <w:pPr>
        <w:pStyle w:val="ListParagraph"/>
        <w:numPr>
          <w:ilvl w:val="0"/>
          <w:numId w:val="28"/>
        </w:numPr>
        <w:tabs>
          <w:tab w:val="clear" w:pos="864"/>
          <w:tab w:val="clear" w:pos="1728"/>
        </w:tabs>
        <w:spacing w:after="80" w:line="269" w:lineRule="auto"/>
        <w:rPr>
          <w:rFonts w:cs="Arial"/>
          <w:szCs w:val="22"/>
        </w:rPr>
      </w:pPr>
      <w:r w:rsidRPr="003B7E3F">
        <w:rPr>
          <w:rFonts w:cs="Arial"/>
          <w:szCs w:val="22"/>
        </w:rPr>
        <w:t xml:space="preserve">The permanent nature of the business activity relevant to mining and related industries.  </w:t>
      </w:r>
    </w:p>
    <w:p w:rsidR="00E50E2B" w:rsidRDefault="00E50E2B" w:rsidP="005A3922">
      <w:pPr>
        <w:pStyle w:val="Subtitle"/>
        <w:jc w:val="left"/>
        <w:rPr>
          <w:rFonts w:ascii="Arial" w:hAnsi="Arial" w:cs="Arial"/>
          <w:b w:val="0"/>
          <w:sz w:val="22"/>
          <w:szCs w:val="22"/>
        </w:rPr>
      </w:pPr>
    </w:p>
    <w:p w:rsidR="009F1796" w:rsidRDefault="00441A3F" w:rsidP="000D6758">
      <w:pPr>
        <w:tabs>
          <w:tab w:val="clear" w:pos="864"/>
          <w:tab w:val="clear" w:pos="1728"/>
        </w:tabs>
        <w:spacing w:after="120" w:line="269" w:lineRule="auto"/>
        <w:rPr>
          <w:rFonts w:cs="Arial"/>
          <w:b/>
          <w:i/>
          <w:color w:val="3A6097"/>
          <w:szCs w:val="22"/>
        </w:rPr>
      </w:pPr>
      <w:r w:rsidRPr="003B7E3F">
        <w:rPr>
          <w:rFonts w:cs="Arial"/>
          <w:b/>
          <w:i/>
          <w:color w:val="3A6097"/>
          <w:szCs w:val="22"/>
        </w:rPr>
        <w:t>Minimum Payments</w:t>
      </w:r>
    </w:p>
    <w:p w:rsidR="005D6590" w:rsidRPr="00761E7F" w:rsidRDefault="00761E7F" w:rsidP="000D6758">
      <w:pPr>
        <w:spacing w:after="120"/>
        <w:rPr>
          <w:rFonts w:cs="Arial"/>
          <w:szCs w:val="22"/>
        </w:rPr>
      </w:pPr>
      <w:r w:rsidRPr="00761E7F">
        <w:rPr>
          <w:rFonts w:cs="Arial"/>
          <w:szCs w:val="22"/>
        </w:rPr>
        <w:t xml:space="preserve">Applying a minimum payment seeks to ensure all ratepayers contribute </w:t>
      </w:r>
      <w:r w:rsidR="00631421">
        <w:rPr>
          <w:rFonts w:cs="Arial"/>
          <w:szCs w:val="22"/>
        </w:rPr>
        <w:t>a minimum amount to basic services and facilities. The</w:t>
      </w:r>
      <w:r>
        <w:rPr>
          <w:rFonts w:cs="Arial"/>
          <w:szCs w:val="22"/>
        </w:rPr>
        <w:t xml:space="preserve"> Council </w:t>
      </w:r>
      <w:r w:rsidRPr="004F0846">
        <w:rPr>
          <w:rFonts w:cs="Arial"/>
          <w:szCs w:val="22"/>
        </w:rPr>
        <w:t>has determ</w:t>
      </w:r>
      <w:r w:rsidR="004F0846">
        <w:rPr>
          <w:rFonts w:cs="Arial"/>
          <w:szCs w:val="22"/>
        </w:rPr>
        <w:t>ined</w:t>
      </w:r>
      <w:r w:rsidR="00245C07" w:rsidRPr="004F0846">
        <w:rPr>
          <w:rFonts w:cs="Arial"/>
          <w:szCs w:val="22"/>
        </w:rPr>
        <w:t xml:space="preserve"> two </w:t>
      </w:r>
      <w:r w:rsidRPr="004F0846">
        <w:rPr>
          <w:rFonts w:cs="Arial"/>
          <w:szCs w:val="22"/>
        </w:rPr>
        <w:t xml:space="preserve">levels </w:t>
      </w:r>
      <w:r>
        <w:rPr>
          <w:rFonts w:cs="Arial"/>
          <w:szCs w:val="22"/>
        </w:rPr>
        <w:t xml:space="preserve">of General minimums </w:t>
      </w:r>
      <w:r w:rsidR="004F0846">
        <w:rPr>
          <w:rFonts w:cs="Arial"/>
          <w:szCs w:val="22"/>
        </w:rPr>
        <w:t>and</w:t>
      </w:r>
      <w:r w:rsidRPr="004F0846">
        <w:rPr>
          <w:rFonts w:cs="Arial"/>
          <w:szCs w:val="22"/>
        </w:rPr>
        <w:t xml:space="preserve"> </w:t>
      </w:r>
      <w:r w:rsidR="00245C07" w:rsidRPr="004F0846">
        <w:rPr>
          <w:rFonts w:cs="Arial"/>
          <w:szCs w:val="22"/>
        </w:rPr>
        <w:t xml:space="preserve">one </w:t>
      </w:r>
      <w:r w:rsidR="00D75820">
        <w:rPr>
          <w:rFonts w:cs="Arial"/>
          <w:szCs w:val="22"/>
        </w:rPr>
        <w:t>lesser</w:t>
      </w:r>
      <w:r>
        <w:rPr>
          <w:rFonts w:cs="Arial"/>
          <w:szCs w:val="22"/>
        </w:rPr>
        <w:t xml:space="preserve"> minimum.</w:t>
      </w:r>
    </w:p>
    <w:p w:rsidR="00761E7F" w:rsidRPr="00761E7F" w:rsidRDefault="00761E7F" w:rsidP="000D6758">
      <w:pPr>
        <w:spacing w:after="120"/>
        <w:rPr>
          <w:rFonts w:cs="Arial"/>
        </w:rPr>
      </w:pPr>
    </w:p>
    <w:p w:rsidR="005D6590" w:rsidRDefault="005D6590" w:rsidP="000D6758">
      <w:pPr>
        <w:tabs>
          <w:tab w:val="clear" w:pos="864"/>
          <w:tab w:val="clear" w:pos="1728"/>
        </w:tabs>
        <w:spacing w:after="120" w:line="269" w:lineRule="auto"/>
        <w:rPr>
          <w:rFonts w:cs="Arial"/>
          <w:b/>
          <w:i/>
          <w:color w:val="3A6097"/>
          <w:szCs w:val="22"/>
        </w:rPr>
      </w:pPr>
      <w:r>
        <w:rPr>
          <w:rFonts w:cs="Arial"/>
          <w:b/>
          <w:i/>
          <w:color w:val="3A6097"/>
          <w:szCs w:val="22"/>
        </w:rPr>
        <w:t>General Minimum Payments</w:t>
      </w:r>
    </w:p>
    <w:p w:rsidR="00631421" w:rsidRDefault="00761E7F" w:rsidP="009853A5">
      <w:pPr>
        <w:spacing w:after="120"/>
        <w:rPr>
          <w:rFonts w:cs="Arial"/>
        </w:rPr>
      </w:pPr>
      <w:r w:rsidRPr="00631421">
        <w:rPr>
          <w:rFonts w:cs="Arial"/>
        </w:rPr>
        <w:t>A Genera</w:t>
      </w:r>
      <w:r w:rsidR="000606CE" w:rsidRPr="00631421">
        <w:rPr>
          <w:rFonts w:cs="Arial"/>
        </w:rPr>
        <w:t>l minimum of $</w:t>
      </w:r>
      <w:r w:rsidR="00631421">
        <w:rPr>
          <w:rFonts w:cs="Arial"/>
        </w:rPr>
        <w:t>1</w:t>
      </w:r>
      <w:r w:rsidR="005A3922">
        <w:rPr>
          <w:rFonts w:cs="Arial"/>
        </w:rPr>
        <w:t>150.00</w:t>
      </w:r>
      <w:r w:rsidRPr="00631421">
        <w:rPr>
          <w:rFonts w:cs="Arial"/>
        </w:rPr>
        <w:t xml:space="preserve"> has been applie</w:t>
      </w:r>
      <w:r w:rsidR="00245C07" w:rsidRPr="00631421">
        <w:rPr>
          <w:rFonts w:cs="Arial"/>
        </w:rPr>
        <w:t>d</w:t>
      </w:r>
      <w:r w:rsidRPr="00631421">
        <w:rPr>
          <w:rFonts w:cs="Arial"/>
        </w:rPr>
        <w:t xml:space="preserve"> to properties in the </w:t>
      </w:r>
      <w:r w:rsidR="00631421">
        <w:rPr>
          <w:rFonts w:cs="Arial"/>
        </w:rPr>
        <w:t>following differential rate categories:</w:t>
      </w:r>
    </w:p>
    <w:p w:rsidR="00631421" w:rsidRDefault="00B54493" w:rsidP="00631421">
      <w:pPr>
        <w:pStyle w:val="ListParagraph"/>
        <w:numPr>
          <w:ilvl w:val="0"/>
          <w:numId w:val="35"/>
        </w:numPr>
        <w:spacing w:after="120"/>
        <w:rPr>
          <w:rFonts w:cs="Arial"/>
        </w:rPr>
      </w:pPr>
      <w:r w:rsidRPr="00631421">
        <w:rPr>
          <w:rFonts w:cs="Arial"/>
        </w:rPr>
        <w:t>GRV Commercial/Industrial</w:t>
      </w:r>
      <w:r w:rsidR="00631421">
        <w:rPr>
          <w:rFonts w:cs="Arial"/>
        </w:rPr>
        <w:t>;</w:t>
      </w:r>
    </w:p>
    <w:p w:rsidR="00631421" w:rsidRDefault="00631421" w:rsidP="00631421">
      <w:pPr>
        <w:pStyle w:val="ListParagraph"/>
        <w:numPr>
          <w:ilvl w:val="0"/>
          <w:numId w:val="35"/>
        </w:numPr>
        <w:spacing w:after="120"/>
        <w:rPr>
          <w:rFonts w:cs="Arial"/>
        </w:rPr>
      </w:pPr>
      <w:r w:rsidRPr="005A3922">
        <w:rPr>
          <w:rFonts w:cs="Arial"/>
        </w:rPr>
        <w:t>UV Mining/Industrial;</w:t>
      </w:r>
    </w:p>
    <w:p w:rsidR="005A3922" w:rsidRPr="005A3922" w:rsidRDefault="005A3922" w:rsidP="00631421">
      <w:pPr>
        <w:pStyle w:val="ListParagraph"/>
        <w:numPr>
          <w:ilvl w:val="0"/>
          <w:numId w:val="35"/>
        </w:numPr>
        <w:spacing w:after="120"/>
        <w:rPr>
          <w:rFonts w:cs="Arial"/>
        </w:rPr>
      </w:pPr>
      <w:r>
        <w:rPr>
          <w:rFonts w:cs="Arial"/>
        </w:rPr>
        <w:t>UV Pastoral; and</w:t>
      </w:r>
    </w:p>
    <w:p w:rsidR="00761E7F" w:rsidRPr="00631421" w:rsidRDefault="00761E7F" w:rsidP="00631421">
      <w:pPr>
        <w:pStyle w:val="ListParagraph"/>
        <w:numPr>
          <w:ilvl w:val="0"/>
          <w:numId w:val="35"/>
        </w:numPr>
        <w:spacing w:after="120"/>
        <w:rPr>
          <w:rFonts w:cs="Arial"/>
        </w:rPr>
      </w:pPr>
      <w:r w:rsidRPr="00631421">
        <w:rPr>
          <w:rFonts w:cs="Arial"/>
        </w:rPr>
        <w:t>UV Tourism</w:t>
      </w:r>
      <w:r w:rsidR="00743F58" w:rsidRPr="00631421">
        <w:rPr>
          <w:rFonts w:cs="Arial"/>
        </w:rPr>
        <w:t xml:space="preserve"> areas.</w:t>
      </w:r>
    </w:p>
    <w:p w:rsidR="00631421" w:rsidRDefault="00631421" w:rsidP="000D6758">
      <w:pPr>
        <w:tabs>
          <w:tab w:val="clear" w:pos="864"/>
          <w:tab w:val="clear" w:pos="1728"/>
        </w:tabs>
        <w:spacing w:after="120" w:line="269" w:lineRule="auto"/>
        <w:rPr>
          <w:rFonts w:cs="Arial"/>
        </w:rPr>
      </w:pPr>
    </w:p>
    <w:p w:rsidR="000D6758" w:rsidRPr="00631421" w:rsidRDefault="000D6758" w:rsidP="000D6758">
      <w:pPr>
        <w:tabs>
          <w:tab w:val="clear" w:pos="864"/>
          <w:tab w:val="clear" w:pos="1728"/>
        </w:tabs>
        <w:spacing w:after="120" w:line="269" w:lineRule="auto"/>
        <w:rPr>
          <w:rFonts w:cs="Arial"/>
          <w:szCs w:val="22"/>
        </w:rPr>
      </w:pPr>
      <w:r w:rsidRPr="00631421">
        <w:rPr>
          <w:rFonts w:cs="Arial"/>
        </w:rPr>
        <w:t>Another General minimum of $</w:t>
      </w:r>
      <w:r w:rsidR="005A3922">
        <w:rPr>
          <w:rFonts w:cs="Arial"/>
        </w:rPr>
        <w:t>920</w:t>
      </w:r>
      <w:r w:rsidR="00631421">
        <w:rPr>
          <w:rFonts w:cs="Arial"/>
        </w:rPr>
        <w:t>.00</w:t>
      </w:r>
      <w:r w:rsidRPr="00631421">
        <w:rPr>
          <w:rFonts w:cs="Arial"/>
        </w:rPr>
        <w:t xml:space="preserve"> has been set for GRV Residential/Community</w:t>
      </w:r>
      <w:r w:rsidR="00631421">
        <w:rPr>
          <w:rFonts w:cs="Arial"/>
        </w:rPr>
        <w:t>.</w:t>
      </w:r>
    </w:p>
    <w:p w:rsidR="00743F58" w:rsidRPr="003B7E3F" w:rsidRDefault="00743F58" w:rsidP="00783CAE">
      <w:pPr>
        <w:tabs>
          <w:tab w:val="clear" w:pos="864"/>
          <w:tab w:val="clear" w:pos="1728"/>
        </w:tabs>
        <w:spacing w:line="269" w:lineRule="auto"/>
        <w:rPr>
          <w:rFonts w:cs="Arial"/>
          <w:b/>
          <w:i/>
          <w:color w:val="3A6097"/>
          <w:szCs w:val="22"/>
        </w:rPr>
      </w:pPr>
    </w:p>
    <w:p w:rsidR="009F1796" w:rsidRDefault="005D6590" w:rsidP="000F1C45">
      <w:pPr>
        <w:tabs>
          <w:tab w:val="clear" w:pos="864"/>
          <w:tab w:val="clear" w:pos="1728"/>
        </w:tabs>
        <w:spacing w:after="120" w:line="269" w:lineRule="auto"/>
        <w:rPr>
          <w:rFonts w:cs="Arial"/>
          <w:b/>
          <w:i/>
          <w:color w:val="3A6097"/>
          <w:szCs w:val="22"/>
        </w:rPr>
      </w:pPr>
      <w:r w:rsidRPr="003B7E3F">
        <w:rPr>
          <w:rFonts w:cs="Arial"/>
          <w:b/>
          <w:i/>
          <w:color w:val="3A6097"/>
          <w:szCs w:val="22"/>
        </w:rPr>
        <w:t>Lesser Minimum Payment</w:t>
      </w:r>
    </w:p>
    <w:p w:rsidR="00743F58" w:rsidRPr="00743F58" w:rsidRDefault="00743F58" w:rsidP="000F1C45">
      <w:pPr>
        <w:tabs>
          <w:tab w:val="clear" w:pos="864"/>
          <w:tab w:val="clear" w:pos="1728"/>
        </w:tabs>
        <w:spacing w:after="120" w:line="269" w:lineRule="auto"/>
        <w:rPr>
          <w:rFonts w:cs="Arial"/>
        </w:rPr>
      </w:pPr>
      <w:r w:rsidRPr="00743F58">
        <w:rPr>
          <w:rFonts w:cs="Arial"/>
        </w:rPr>
        <w:t xml:space="preserve">A Lesser minimum </w:t>
      </w:r>
      <w:r w:rsidR="00B54493">
        <w:rPr>
          <w:rFonts w:cs="Arial"/>
        </w:rPr>
        <w:t>of $</w:t>
      </w:r>
      <w:r w:rsidR="005A3922">
        <w:rPr>
          <w:rFonts w:cs="Arial"/>
        </w:rPr>
        <w:t>690.00</w:t>
      </w:r>
      <w:r>
        <w:rPr>
          <w:rFonts w:cs="Arial"/>
        </w:rPr>
        <w:t xml:space="preserve"> </w:t>
      </w:r>
      <w:r w:rsidRPr="00743F58">
        <w:rPr>
          <w:rFonts w:cs="Arial"/>
        </w:rPr>
        <w:t xml:space="preserve">has </w:t>
      </w:r>
      <w:r>
        <w:rPr>
          <w:rFonts w:cs="Arial"/>
        </w:rPr>
        <w:t xml:space="preserve">been set for Wittenoom properties to reflect </w:t>
      </w:r>
      <w:r w:rsidR="00FF52EA">
        <w:rPr>
          <w:rFonts w:cs="Arial"/>
        </w:rPr>
        <w:t>the</w:t>
      </w:r>
      <w:r>
        <w:rPr>
          <w:rFonts w:cs="Arial"/>
        </w:rPr>
        <w:t xml:space="preserve"> </w:t>
      </w:r>
      <w:r w:rsidRPr="00E50C3F">
        <w:rPr>
          <w:rFonts w:cs="Arial"/>
        </w:rPr>
        <w:t xml:space="preserve">special circumstances attributable to Wittenoom </w:t>
      </w:r>
      <w:r w:rsidRPr="004F0846">
        <w:rPr>
          <w:rFonts w:cs="Arial"/>
        </w:rPr>
        <w:t xml:space="preserve">properties </w:t>
      </w:r>
      <w:r w:rsidR="00FF52EA">
        <w:rPr>
          <w:rFonts w:cs="Arial"/>
        </w:rPr>
        <w:t>in relation to the status of the townsite (i.e. de</w:t>
      </w:r>
      <w:r w:rsidRPr="00E50C3F">
        <w:rPr>
          <w:rFonts w:cs="Arial"/>
        </w:rPr>
        <w:t>gaz</w:t>
      </w:r>
      <w:r>
        <w:rPr>
          <w:rFonts w:cs="Arial"/>
        </w:rPr>
        <w:t xml:space="preserve">etteal). This is </w:t>
      </w:r>
      <w:r w:rsidR="00FF52EA">
        <w:rPr>
          <w:rFonts w:cs="Arial"/>
        </w:rPr>
        <w:t xml:space="preserve">set </w:t>
      </w:r>
      <w:r>
        <w:rPr>
          <w:rFonts w:cs="Arial"/>
        </w:rPr>
        <w:t xml:space="preserve">at a 25% discount to GRV Residential/Community </w:t>
      </w:r>
      <w:r w:rsidR="00FF52EA">
        <w:rPr>
          <w:rFonts w:cs="Arial"/>
        </w:rPr>
        <w:t>minimum payment level</w:t>
      </w:r>
      <w:r>
        <w:rPr>
          <w:rFonts w:cs="Arial"/>
        </w:rPr>
        <w:t>.</w:t>
      </w:r>
    </w:p>
    <w:sectPr w:rsidR="00743F58" w:rsidRPr="00743F58" w:rsidSect="002C0522">
      <w:headerReference w:type="default" r:id="rId11"/>
      <w:footerReference w:type="default" r:id="rId12"/>
      <w:headerReference w:type="first" r:id="rId13"/>
      <w:footerReference w:type="first" r:id="rId14"/>
      <w:pgSz w:w="11906" w:h="16838" w:code="9"/>
      <w:pgMar w:top="993" w:right="1440" w:bottom="1134"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05A" w:rsidRDefault="0024505A">
      <w:r>
        <w:separator/>
      </w:r>
    </w:p>
  </w:endnote>
  <w:endnote w:type="continuationSeparator" w:id="0">
    <w:p w:rsidR="0024505A" w:rsidRDefault="0024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FA" w:rsidRPr="00905321" w:rsidRDefault="00BB56FA" w:rsidP="00905321">
    <w:pPr>
      <w:pStyle w:val="Footer"/>
      <w:jc w:val="center"/>
      <w:rPr>
        <w:sz w:val="16"/>
      </w:rPr>
    </w:pPr>
    <w:r w:rsidRPr="00905321">
      <w:rPr>
        <w:sz w:val="16"/>
      </w:rPr>
      <w:fldChar w:fldCharType="begin"/>
    </w:r>
    <w:r w:rsidRPr="00905321">
      <w:rPr>
        <w:sz w:val="16"/>
      </w:rPr>
      <w:instrText xml:space="preserve"> PAGE   \* MERGEFORMAT </w:instrText>
    </w:r>
    <w:r w:rsidRPr="00905321">
      <w:rPr>
        <w:sz w:val="16"/>
      </w:rPr>
      <w:fldChar w:fldCharType="separate"/>
    </w:r>
    <w:r w:rsidR="00435F8B">
      <w:rPr>
        <w:noProof/>
        <w:sz w:val="16"/>
      </w:rPr>
      <w:t>4</w:t>
    </w:r>
    <w:r w:rsidRPr="00905321">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1E" w:rsidRPr="00B4067E" w:rsidRDefault="00437F1E" w:rsidP="00B4067E">
    <w:pPr>
      <w:pStyle w:val="Footer"/>
      <w:jc w:val="center"/>
      <w:rPr>
        <w:rFonts w:cs="Arial"/>
        <w:sz w:val="20"/>
      </w:rPr>
    </w:pPr>
    <w:r w:rsidRPr="00B4067E">
      <w:rPr>
        <w:rStyle w:val="PageNumber"/>
        <w:rFonts w:cs="Arial"/>
        <w:sz w:val="20"/>
      </w:rPr>
      <w:fldChar w:fldCharType="begin"/>
    </w:r>
    <w:r w:rsidRPr="00B4067E">
      <w:rPr>
        <w:rStyle w:val="PageNumber"/>
        <w:rFonts w:cs="Arial"/>
        <w:sz w:val="20"/>
      </w:rPr>
      <w:instrText xml:space="preserve"> PAGE </w:instrText>
    </w:r>
    <w:r w:rsidRPr="00B4067E">
      <w:rPr>
        <w:rStyle w:val="PageNumber"/>
        <w:rFonts w:cs="Arial"/>
        <w:sz w:val="20"/>
      </w:rPr>
      <w:fldChar w:fldCharType="separate"/>
    </w:r>
    <w:r>
      <w:rPr>
        <w:rStyle w:val="PageNumber"/>
        <w:rFonts w:cs="Arial"/>
        <w:noProof/>
        <w:sz w:val="20"/>
      </w:rPr>
      <w:t>1</w:t>
    </w:r>
    <w:r w:rsidRPr="00B4067E">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05A" w:rsidRDefault="0024505A">
      <w:r>
        <w:separator/>
      </w:r>
    </w:p>
  </w:footnote>
  <w:footnote w:type="continuationSeparator" w:id="0">
    <w:p w:rsidR="0024505A" w:rsidRDefault="0024505A">
      <w:r>
        <w:continuationSeparator/>
      </w:r>
    </w:p>
  </w:footnote>
  <w:footnote w:id="1">
    <w:p w:rsidR="00437F1E" w:rsidRPr="00E16070" w:rsidRDefault="00437F1E" w:rsidP="00EA36CC">
      <w:pPr>
        <w:pStyle w:val="FootnoteText"/>
        <w:rPr>
          <w:sz w:val="16"/>
          <w:szCs w:val="16"/>
        </w:rPr>
      </w:pPr>
      <w:r>
        <w:rPr>
          <w:rStyle w:val="FootnoteReference"/>
        </w:rPr>
        <w:footnoteRef/>
      </w:r>
      <w:r>
        <w:t xml:space="preserve"> </w:t>
      </w:r>
      <w:r>
        <w:rPr>
          <w:sz w:val="16"/>
          <w:szCs w:val="16"/>
        </w:rPr>
        <w:t>Landg</w:t>
      </w:r>
      <w:r w:rsidRPr="00E16070">
        <w:rPr>
          <w:sz w:val="16"/>
          <w:szCs w:val="16"/>
        </w:rPr>
        <w:t>ate, Rating and Taxing Va</w:t>
      </w:r>
      <w:r w:rsidR="00AD5F07">
        <w:rPr>
          <w:sz w:val="16"/>
          <w:szCs w:val="16"/>
        </w:rPr>
        <w:t>luations Publication, April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FA" w:rsidRPr="003B7E3F" w:rsidRDefault="00BB56FA">
    <w:pPr>
      <w:pStyle w:val="Header"/>
      <w:rPr>
        <w:rFonts w:cs="Arial"/>
      </w:rPr>
    </w:pPr>
    <w:r w:rsidRPr="003B7E3F">
      <w:rPr>
        <w:rFonts w:cs="Arial"/>
        <w:sz w:val="16"/>
        <w:szCs w:val="16"/>
      </w:rPr>
      <w:t>SHIRE OF ASHBURTON</w:t>
    </w:r>
    <w:r w:rsidRPr="003B7E3F">
      <w:rPr>
        <w:rFonts w:cs="Arial"/>
      </w:rPr>
      <w:ptab w:relativeTo="margin" w:alignment="right" w:leader="none"/>
    </w:r>
    <w:r w:rsidRPr="003B7E3F">
      <w:rPr>
        <w:rFonts w:cs="Arial"/>
        <w:sz w:val="16"/>
        <w:szCs w:val="16"/>
      </w:rPr>
      <w:t xml:space="preserve"> </w:t>
    </w:r>
    <w:r w:rsidR="00A02256" w:rsidRPr="003B7E3F">
      <w:rPr>
        <w:rFonts w:cs="Arial"/>
        <w:sz w:val="16"/>
        <w:szCs w:val="16"/>
      </w:rPr>
      <w:t>NOTICE OF INTENTION TO LEVY DIFFERENTIAL RATES</w:t>
    </w:r>
    <w:r w:rsidR="003A5292">
      <w:rPr>
        <w:rFonts w:cs="Arial"/>
        <w:sz w:val="16"/>
        <w:szCs w:val="16"/>
      </w:rPr>
      <w:t xml:space="preserve"> – </w:t>
    </w:r>
    <w:r w:rsidR="00D549B0">
      <w:rPr>
        <w:rFonts w:cs="Arial"/>
        <w:sz w:val="16"/>
        <w:szCs w:val="16"/>
      </w:rPr>
      <w:t>JUNE</w:t>
    </w:r>
    <w:r w:rsidR="003A5292">
      <w:rPr>
        <w:rFonts w:cs="Arial"/>
        <w:sz w:val="16"/>
        <w:szCs w:val="16"/>
      </w:rPr>
      <w:t xml:space="preserve"> 201</w:t>
    </w:r>
    <w:r w:rsidR="00CC1A22">
      <w:rPr>
        <w:rFonts w:cs="Arial"/>
        <w:sz w:val="16"/>
        <w:szCs w:val="16"/>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1E" w:rsidRDefault="00437F1E" w:rsidP="00A821B5">
    <w:pPr>
      <w:pStyle w:val="Header"/>
      <w:tabs>
        <w:tab w:val="clear" w:pos="864"/>
        <w:tab w:val="clear" w:pos="1728"/>
      </w:tabs>
      <w:rPr>
        <w:rFonts w:ascii="Book Antiqua" w:hAnsi="Book Antiqua"/>
        <w:b/>
        <w:i/>
        <w:sz w:val="28"/>
        <w:szCs w:val="28"/>
      </w:rPr>
    </w:pPr>
    <w:r>
      <w:rPr>
        <w:rFonts w:ascii="Book Antiqua" w:hAnsi="Book Antiqua"/>
        <w:b/>
        <w:i/>
        <w:noProof/>
        <w:sz w:val="28"/>
        <w:szCs w:val="28"/>
        <w:lang w:val="en-US"/>
      </w:rPr>
      <mc:AlternateContent>
        <mc:Choice Requires="wps">
          <w:drawing>
            <wp:anchor distT="0" distB="0" distL="114300" distR="114300" simplePos="0" relativeHeight="251658240" behindDoc="0" locked="0" layoutInCell="1" allowOverlap="1" wp14:anchorId="71BB1BDF" wp14:editId="32291C18">
              <wp:simplePos x="0" y="0"/>
              <wp:positionH relativeFrom="column">
                <wp:posOffset>4762500</wp:posOffset>
              </wp:positionH>
              <wp:positionV relativeFrom="paragraph">
                <wp:posOffset>-145415</wp:posOffset>
              </wp:positionV>
              <wp:extent cx="1562100" cy="323850"/>
              <wp:effectExtent l="9525" t="6985" r="9525"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23850"/>
                      </a:xfrm>
                      <a:prstGeom prst="rect">
                        <a:avLst/>
                      </a:prstGeom>
                      <a:solidFill>
                        <a:srgbClr val="FFFFFF"/>
                      </a:solidFill>
                      <a:ln w="9525">
                        <a:solidFill>
                          <a:schemeClr val="bg1">
                            <a:lumMod val="75000"/>
                            <a:lumOff val="0"/>
                          </a:schemeClr>
                        </a:solidFill>
                        <a:miter lim="800000"/>
                        <a:headEnd/>
                        <a:tailEnd/>
                      </a:ln>
                    </wps:spPr>
                    <wps:txbx>
                      <w:txbxContent>
                        <w:p w:rsidR="00437F1E" w:rsidRPr="00966C9A" w:rsidRDefault="00437F1E" w:rsidP="00966C9A">
                          <w:pPr>
                            <w:jc w:val="center"/>
                            <w:rPr>
                              <w:sz w:val="32"/>
                              <w:szCs w:val="32"/>
                            </w:rPr>
                          </w:pPr>
                          <w:r w:rsidRPr="00966C9A">
                            <w:rPr>
                              <w:sz w:val="32"/>
                              <w:szCs w:val="32"/>
                            </w:rPr>
                            <w:t>Appendix</w:t>
                          </w:r>
                          <w:r>
                            <w:rPr>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B1BDF" id="_x0000_t202" coordsize="21600,21600" o:spt="202" path="m,l,21600r21600,l21600,xe">
              <v:stroke joinstyle="miter"/>
              <v:path gradientshapeok="t" o:connecttype="rect"/>
            </v:shapetype>
            <v:shape id="Text Box 3" o:spid="_x0000_s1026" type="#_x0000_t202" style="position:absolute;left:0;text-align:left;margin-left:375pt;margin-top:-11.45pt;width:123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" strokecolor="#bfbfbf [2412]">
              <v:textbox>
                <w:txbxContent>
                  <w:p w:rsidR="00437F1E" w:rsidRPr="00966C9A" w:rsidRDefault="00437F1E" w:rsidP="00966C9A">
                    <w:pPr>
                      <w:jc w:val="center"/>
                      <w:rPr>
                        <w:sz w:val="32"/>
                        <w:szCs w:val="32"/>
                      </w:rPr>
                    </w:pPr>
                    <w:r w:rsidRPr="00966C9A">
                      <w:rPr>
                        <w:sz w:val="32"/>
                        <w:szCs w:val="32"/>
                      </w:rPr>
                      <w:t>Appendix</w:t>
                    </w:r>
                    <w:r>
                      <w:rPr>
                        <w:sz w:val="32"/>
                        <w:szCs w:val="32"/>
                      </w:rPr>
                      <w:t xml:space="preserve"> ??</w:t>
                    </w:r>
                  </w:p>
                </w:txbxContent>
              </v:textbox>
            </v:shape>
          </w:pict>
        </mc:Fallback>
      </mc:AlternateContent>
    </w:r>
    <w:r>
      <w:rPr>
        <w:rFonts w:ascii="Book Antiqua" w:hAnsi="Book Antiqua"/>
        <w:b/>
        <w:i/>
        <w:sz w:val="28"/>
        <w:szCs w:val="28"/>
      </w:rPr>
      <w:t>Policy Statement</w:t>
    </w:r>
  </w:p>
  <w:p w:rsidR="00437F1E" w:rsidRDefault="00437F1E" w:rsidP="00A821B5">
    <w:pPr>
      <w:pStyle w:val="Header"/>
      <w:tabs>
        <w:tab w:val="clear" w:pos="864"/>
        <w:tab w:val="clear" w:pos="1728"/>
      </w:tabs>
    </w:pPr>
    <w:r>
      <w:t>Strategic Rating</w:t>
    </w:r>
  </w:p>
  <w:p w:rsidR="00437F1E" w:rsidRDefault="00437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47B"/>
    <w:multiLevelType w:val="hybridMultilevel"/>
    <w:tmpl w:val="5F7230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7C0C0A"/>
    <w:multiLevelType w:val="hybridMultilevel"/>
    <w:tmpl w:val="826CFDD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nsid w:val="0B5E35D4"/>
    <w:multiLevelType w:val="hybridMultilevel"/>
    <w:tmpl w:val="85FA6B6C"/>
    <w:lvl w:ilvl="0" w:tplc="BCEAE0F8">
      <w:start w:val="1"/>
      <w:numFmt w:val="bullet"/>
      <w:lvlText w:val=""/>
      <w:lvlJc w:val="left"/>
      <w:pPr>
        <w:ind w:left="720" w:hanging="360"/>
      </w:pPr>
      <w:rPr>
        <w:rFonts w:ascii="Symbol" w:hAnsi="Symbol" w:hint="default"/>
        <w:color w:val="3A609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0B2767"/>
    <w:multiLevelType w:val="hybridMultilevel"/>
    <w:tmpl w:val="1A102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7027E8"/>
    <w:multiLevelType w:val="hybridMultilevel"/>
    <w:tmpl w:val="3766B9B0"/>
    <w:lvl w:ilvl="0" w:tplc="BCEAE0F8">
      <w:start w:val="1"/>
      <w:numFmt w:val="bullet"/>
      <w:lvlText w:val=""/>
      <w:lvlJc w:val="left"/>
      <w:pPr>
        <w:ind w:left="1069" w:hanging="360"/>
      </w:pPr>
      <w:rPr>
        <w:rFonts w:ascii="Symbol" w:hAnsi="Symbol" w:hint="default"/>
        <w:color w:val="3A609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915F07"/>
    <w:multiLevelType w:val="hybridMultilevel"/>
    <w:tmpl w:val="550AD536"/>
    <w:lvl w:ilvl="0" w:tplc="F31032C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135E1A"/>
    <w:multiLevelType w:val="hybridMultilevel"/>
    <w:tmpl w:val="76EE2A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4C061B"/>
    <w:multiLevelType w:val="hybridMultilevel"/>
    <w:tmpl w:val="B8CE5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8E0DDA"/>
    <w:multiLevelType w:val="hybridMultilevel"/>
    <w:tmpl w:val="316442C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69B33C9"/>
    <w:multiLevelType w:val="hybridMultilevel"/>
    <w:tmpl w:val="E598AF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D262E8"/>
    <w:multiLevelType w:val="hybridMultilevel"/>
    <w:tmpl w:val="5CE07FD6"/>
    <w:lvl w:ilvl="0" w:tplc="BABC45E6">
      <w:start w:val="1"/>
      <w:numFmt w:val="bullet"/>
      <w:lvlText w:val=""/>
      <w:lvlJc w:val="left"/>
      <w:pPr>
        <w:ind w:left="428" w:hanging="360"/>
      </w:pPr>
      <w:rPr>
        <w:rFonts w:ascii="Symbol" w:hAnsi="Symbol" w:hint="default"/>
        <w:color w:val="auto"/>
      </w:rPr>
    </w:lvl>
    <w:lvl w:ilvl="1" w:tplc="0C090003">
      <w:start w:val="1"/>
      <w:numFmt w:val="bullet"/>
      <w:lvlText w:val="o"/>
      <w:lvlJc w:val="left"/>
      <w:pPr>
        <w:ind w:left="1148" w:hanging="360"/>
      </w:pPr>
      <w:rPr>
        <w:rFonts w:ascii="Courier New" w:hAnsi="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11">
    <w:nsid w:val="2DCF12FF"/>
    <w:multiLevelType w:val="hybridMultilevel"/>
    <w:tmpl w:val="60F2A060"/>
    <w:lvl w:ilvl="0" w:tplc="309ACB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F23292"/>
    <w:multiLevelType w:val="hybridMultilevel"/>
    <w:tmpl w:val="11740A7A"/>
    <w:lvl w:ilvl="0" w:tplc="715AFD74">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883778"/>
    <w:multiLevelType w:val="hybridMultilevel"/>
    <w:tmpl w:val="5D5616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527354"/>
    <w:multiLevelType w:val="hybridMultilevel"/>
    <w:tmpl w:val="5C1E585A"/>
    <w:lvl w:ilvl="0" w:tplc="13EA51AC">
      <w:start w:val="1"/>
      <w:numFmt w:val="decimal"/>
      <w:lvlText w:val="%1."/>
      <w:lvlJc w:val="left"/>
      <w:pPr>
        <w:ind w:left="540" w:hanging="360"/>
      </w:pPr>
    </w:lvl>
    <w:lvl w:ilvl="1" w:tplc="0C090019">
      <w:start w:val="1"/>
      <w:numFmt w:val="lowerLetter"/>
      <w:lvlText w:val="%2."/>
      <w:lvlJc w:val="left"/>
      <w:pPr>
        <w:ind w:left="1260" w:hanging="360"/>
      </w:pPr>
    </w:lvl>
    <w:lvl w:ilvl="2" w:tplc="0C09001B">
      <w:start w:val="1"/>
      <w:numFmt w:val="lowerRoman"/>
      <w:lvlText w:val="%3."/>
      <w:lvlJc w:val="right"/>
      <w:pPr>
        <w:ind w:left="1980" w:hanging="180"/>
      </w:pPr>
    </w:lvl>
    <w:lvl w:ilvl="3" w:tplc="0C09000F">
      <w:start w:val="1"/>
      <w:numFmt w:val="decimal"/>
      <w:lvlText w:val="%4."/>
      <w:lvlJc w:val="left"/>
      <w:pPr>
        <w:ind w:left="2700" w:hanging="360"/>
      </w:pPr>
    </w:lvl>
    <w:lvl w:ilvl="4" w:tplc="0C090019">
      <w:start w:val="1"/>
      <w:numFmt w:val="lowerLetter"/>
      <w:lvlText w:val="%5."/>
      <w:lvlJc w:val="left"/>
      <w:pPr>
        <w:ind w:left="3420" w:hanging="360"/>
      </w:pPr>
    </w:lvl>
    <w:lvl w:ilvl="5" w:tplc="0C09001B">
      <w:start w:val="1"/>
      <w:numFmt w:val="lowerRoman"/>
      <w:lvlText w:val="%6."/>
      <w:lvlJc w:val="right"/>
      <w:pPr>
        <w:ind w:left="4140" w:hanging="180"/>
      </w:pPr>
    </w:lvl>
    <w:lvl w:ilvl="6" w:tplc="0C09000F">
      <w:start w:val="1"/>
      <w:numFmt w:val="decimal"/>
      <w:lvlText w:val="%7."/>
      <w:lvlJc w:val="left"/>
      <w:pPr>
        <w:ind w:left="4860" w:hanging="360"/>
      </w:pPr>
    </w:lvl>
    <w:lvl w:ilvl="7" w:tplc="0C090019">
      <w:start w:val="1"/>
      <w:numFmt w:val="lowerLetter"/>
      <w:lvlText w:val="%8."/>
      <w:lvlJc w:val="left"/>
      <w:pPr>
        <w:ind w:left="5580" w:hanging="360"/>
      </w:pPr>
    </w:lvl>
    <w:lvl w:ilvl="8" w:tplc="0C09001B">
      <w:start w:val="1"/>
      <w:numFmt w:val="lowerRoman"/>
      <w:lvlText w:val="%9."/>
      <w:lvlJc w:val="right"/>
      <w:pPr>
        <w:ind w:left="6300" w:hanging="180"/>
      </w:pPr>
    </w:lvl>
  </w:abstractNum>
  <w:abstractNum w:abstractNumId="15">
    <w:nsid w:val="38206767"/>
    <w:multiLevelType w:val="hybridMultilevel"/>
    <w:tmpl w:val="8C82D70A"/>
    <w:lvl w:ilvl="0" w:tplc="BF080EA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42569B"/>
    <w:multiLevelType w:val="hybridMultilevel"/>
    <w:tmpl w:val="A32C7C32"/>
    <w:lvl w:ilvl="0" w:tplc="BCEAE0F8">
      <w:start w:val="1"/>
      <w:numFmt w:val="bullet"/>
      <w:lvlText w:val=""/>
      <w:lvlJc w:val="left"/>
      <w:pPr>
        <w:ind w:left="720" w:hanging="360"/>
      </w:pPr>
      <w:rPr>
        <w:rFonts w:ascii="Symbol" w:hAnsi="Symbol" w:hint="default"/>
        <w:color w:val="3A609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937DF1"/>
    <w:multiLevelType w:val="hybridMultilevel"/>
    <w:tmpl w:val="1542D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F114EB"/>
    <w:multiLevelType w:val="hybridMultilevel"/>
    <w:tmpl w:val="6AAE1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807265"/>
    <w:multiLevelType w:val="hybridMultilevel"/>
    <w:tmpl w:val="A51A8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A52D15"/>
    <w:multiLevelType w:val="hybridMultilevel"/>
    <w:tmpl w:val="6292E60E"/>
    <w:lvl w:ilvl="0" w:tplc="9DA8AA9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A90115"/>
    <w:multiLevelType w:val="hybridMultilevel"/>
    <w:tmpl w:val="8068A8DE"/>
    <w:lvl w:ilvl="0" w:tplc="26EA422C">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7E54361"/>
    <w:multiLevelType w:val="hybridMultilevel"/>
    <w:tmpl w:val="2A4C1EF4"/>
    <w:lvl w:ilvl="0" w:tplc="BCEAE0F8">
      <w:start w:val="1"/>
      <w:numFmt w:val="bullet"/>
      <w:lvlText w:val=""/>
      <w:lvlJc w:val="left"/>
      <w:pPr>
        <w:ind w:left="1069" w:hanging="360"/>
      </w:pPr>
      <w:rPr>
        <w:rFonts w:ascii="Symbol" w:hAnsi="Symbol" w:hint="default"/>
        <w:color w:val="3A6097"/>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09595E"/>
    <w:multiLevelType w:val="hybridMultilevel"/>
    <w:tmpl w:val="442E0568"/>
    <w:lvl w:ilvl="0" w:tplc="715AFD74">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E6577D"/>
    <w:multiLevelType w:val="hybridMultilevel"/>
    <w:tmpl w:val="D5EEC9EE"/>
    <w:lvl w:ilvl="0" w:tplc="715AFD74">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5">
    <w:nsid w:val="5F503930"/>
    <w:multiLevelType w:val="hybridMultilevel"/>
    <w:tmpl w:val="4F12BF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422E08"/>
    <w:multiLevelType w:val="hybridMultilevel"/>
    <w:tmpl w:val="5246B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AA3979"/>
    <w:multiLevelType w:val="hybridMultilevel"/>
    <w:tmpl w:val="22162772"/>
    <w:lvl w:ilvl="0" w:tplc="BCEAE0F8">
      <w:start w:val="1"/>
      <w:numFmt w:val="bullet"/>
      <w:lvlText w:val=""/>
      <w:lvlJc w:val="left"/>
      <w:pPr>
        <w:ind w:left="1069" w:hanging="360"/>
      </w:pPr>
      <w:rPr>
        <w:rFonts w:ascii="Symbol" w:hAnsi="Symbol" w:hint="default"/>
        <w:color w:val="3A6097"/>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6A04F9"/>
    <w:multiLevelType w:val="hybridMultilevel"/>
    <w:tmpl w:val="0340E8A2"/>
    <w:lvl w:ilvl="0" w:tplc="715AFD74">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26EA422C">
      <w:numFmt w:val="bullet"/>
      <w:lvlText w:val="-"/>
      <w:lvlJc w:val="left"/>
      <w:pPr>
        <w:ind w:left="2160" w:hanging="360"/>
      </w:pPr>
      <w:rPr>
        <w:rFonts w:ascii="Times New Roman" w:eastAsia="Times New Roman" w:hAnsi="Times New Roman" w:cs="Times New Roman"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FD75A9"/>
    <w:multiLevelType w:val="hybridMultilevel"/>
    <w:tmpl w:val="0BEA70DC"/>
    <w:lvl w:ilvl="0" w:tplc="9DA8AA98">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6D2C6F77"/>
    <w:multiLevelType w:val="hybridMultilevel"/>
    <w:tmpl w:val="D1A4FB76"/>
    <w:lvl w:ilvl="0" w:tplc="26EA422C">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nsid w:val="6F655213"/>
    <w:multiLevelType w:val="hybridMultilevel"/>
    <w:tmpl w:val="B5064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4152125"/>
    <w:multiLevelType w:val="hybridMultilevel"/>
    <w:tmpl w:val="945C1EE4"/>
    <w:lvl w:ilvl="0" w:tplc="BCEAE0F8">
      <w:start w:val="1"/>
      <w:numFmt w:val="bullet"/>
      <w:lvlText w:val=""/>
      <w:lvlJc w:val="left"/>
      <w:pPr>
        <w:ind w:left="720" w:hanging="360"/>
      </w:pPr>
      <w:rPr>
        <w:rFonts w:ascii="Symbol" w:hAnsi="Symbol" w:hint="default"/>
        <w:color w:val="3A609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880DFB"/>
    <w:multiLevelType w:val="hybridMultilevel"/>
    <w:tmpl w:val="2D5A52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D3F2D66"/>
    <w:multiLevelType w:val="hybridMultilevel"/>
    <w:tmpl w:val="AA1C76EE"/>
    <w:lvl w:ilvl="0" w:tplc="37B81FDE">
      <w:start w:val="1"/>
      <w:numFmt w:val="bullet"/>
      <w:lvlText w:val=""/>
      <w:lvlJc w:val="left"/>
      <w:pPr>
        <w:ind w:left="720" w:hanging="360"/>
      </w:pPr>
      <w:rPr>
        <w:rFonts w:ascii="Symbol" w:hAnsi="Symbol" w:hint="default"/>
        <w:color w:val="9BBB5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E34699"/>
    <w:multiLevelType w:val="hybridMultilevel"/>
    <w:tmpl w:val="377C05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13"/>
  </w:num>
  <w:num w:numId="4">
    <w:abstractNumId w:val="33"/>
  </w:num>
  <w:num w:numId="5">
    <w:abstractNumId w:val="18"/>
  </w:num>
  <w:num w:numId="6">
    <w:abstractNumId w:val="0"/>
  </w:num>
  <w:num w:numId="7">
    <w:abstractNumId w:val="9"/>
  </w:num>
  <w:num w:numId="8">
    <w:abstractNumId w:val="25"/>
  </w:num>
  <w:num w:numId="9">
    <w:abstractNumId w:val="34"/>
  </w:num>
  <w:num w:numId="10">
    <w:abstractNumId w:val="26"/>
  </w:num>
  <w:num w:numId="11">
    <w:abstractNumId w:val="29"/>
  </w:num>
  <w:num w:numId="12">
    <w:abstractNumId w:val="20"/>
  </w:num>
  <w:num w:numId="13">
    <w:abstractNumId w:val="24"/>
  </w:num>
  <w:num w:numId="14">
    <w:abstractNumId w:val="12"/>
  </w:num>
  <w:num w:numId="15">
    <w:abstractNumId w:val="23"/>
  </w:num>
  <w:num w:numId="16">
    <w:abstractNumId w:val="15"/>
  </w:num>
  <w:num w:numId="17">
    <w:abstractNumId w:val="2"/>
  </w:num>
  <w:num w:numId="18">
    <w:abstractNumId w:val="5"/>
  </w:num>
  <w:num w:numId="19">
    <w:abstractNumId w:val="27"/>
  </w:num>
  <w:num w:numId="20">
    <w:abstractNumId w:val="22"/>
  </w:num>
  <w:num w:numId="21">
    <w:abstractNumId w:val="4"/>
  </w:num>
  <w:num w:numId="22">
    <w:abstractNumId w:val="28"/>
  </w:num>
  <w:num w:numId="23">
    <w:abstractNumId w:val="17"/>
  </w:num>
  <w:num w:numId="24">
    <w:abstractNumId w:val="21"/>
  </w:num>
  <w:num w:numId="25">
    <w:abstractNumId w:val="30"/>
  </w:num>
  <w:num w:numId="26">
    <w:abstractNumId w:val="31"/>
  </w:num>
  <w:num w:numId="27">
    <w:abstractNumId w:val="10"/>
  </w:num>
  <w:num w:numId="28">
    <w:abstractNumId w:val="11"/>
  </w:num>
  <w:num w:numId="29">
    <w:abstractNumId w:val="16"/>
  </w:num>
  <w:num w:numId="30">
    <w:abstractNumId w:val="3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
  </w:num>
  <w:num w:numId="34">
    <w:abstractNumId w:val="3"/>
  </w:num>
  <w:num w:numId="35">
    <w:abstractNumId w:val="19"/>
  </w:num>
  <w:num w:numId="36">
    <w:abstractNumId w:val="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C169E05-47D6-4996-9CE7-64CB5E7E7F36}"/>
    <w:docVar w:name="dgnword-eventsink" w:val="188584072"/>
  </w:docVars>
  <w:rsids>
    <w:rsidRoot w:val="00FA6CD2"/>
    <w:rsid w:val="00000A87"/>
    <w:rsid w:val="00005F3C"/>
    <w:rsid w:val="00006646"/>
    <w:rsid w:val="0001470F"/>
    <w:rsid w:val="0001768E"/>
    <w:rsid w:val="00024AC6"/>
    <w:rsid w:val="00025FF6"/>
    <w:rsid w:val="0002647D"/>
    <w:rsid w:val="00026BDE"/>
    <w:rsid w:val="00026D05"/>
    <w:rsid w:val="00031A8B"/>
    <w:rsid w:val="000424A1"/>
    <w:rsid w:val="00045593"/>
    <w:rsid w:val="00051591"/>
    <w:rsid w:val="000606CE"/>
    <w:rsid w:val="000610D6"/>
    <w:rsid w:val="00066E19"/>
    <w:rsid w:val="00070478"/>
    <w:rsid w:val="000815A9"/>
    <w:rsid w:val="0008343A"/>
    <w:rsid w:val="00086BC8"/>
    <w:rsid w:val="00093F92"/>
    <w:rsid w:val="000975DA"/>
    <w:rsid w:val="000A2589"/>
    <w:rsid w:val="000A461E"/>
    <w:rsid w:val="000B07BD"/>
    <w:rsid w:val="000B0AB9"/>
    <w:rsid w:val="000B5BB6"/>
    <w:rsid w:val="000C4124"/>
    <w:rsid w:val="000C582F"/>
    <w:rsid w:val="000C6787"/>
    <w:rsid w:val="000C74E7"/>
    <w:rsid w:val="000D35E1"/>
    <w:rsid w:val="000D3CB8"/>
    <w:rsid w:val="000D6758"/>
    <w:rsid w:val="000E0569"/>
    <w:rsid w:val="000E245F"/>
    <w:rsid w:val="000E3E11"/>
    <w:rsid w:val="000E4412"/>
    <w:rsid w:val="000E45FC"/>
    <w:rsid w:val="000F1431"/>
    <w:rsid w:val="000F1C45"/>
    <w:rsid w:val="000F652D"/>
    <w:rsid w:val="000F6AFE"/>
    <w:rsid w:val="000F7744"/>
    <w:rsid w:val="00102F35"/>
    <w:rsid w:val="0010457B"/>
    <w:rsid w:val="001050C8"/>
    <w:rsid w:val="0010514E"/>
    <w:rsid w:val="00111116"/>
    <w:rsid w:val="0011216C"/>
    <w:rsid w:val="00116F23"/>
    <w:rsid w:val="00117539"/>
    <w:rsid w:val="001226F6"/>
    <w:rsid w:val="00123638"/>
    <w:rsid w:val="00124240"/>
    <w:rsid w:val="00134A58"/>
    <w:rsid w:val="00134A6E"/>
    <w:rsid w:val="00137E92"/>
    <w:rsid w:val="001506AA"/>
    <w:rsid w:val="00153324"/>
    <w:rsid w:val="0015560E"/>
    <w:rsid w:val="00155F4A"/>
    <w:rsid w:val="001635BB"/>
    <w:rsid w:val="00164690"/>
    <w:rsid w:val="00164A08"/>
    <w:rsid w:val="001660A5"/>
    <w:rsid w:val="00170274"/>
    <w:rsid w:val="0017395A"/>
    <w:rsid w:val="00184EC0"/>
    <w:rsid w:val="00194991"/>
    <w:rsid w:val="001A5070"/>
    <w:rsid w:val="001B26DE"/>
    <w:rsid w:val="001B46A4"/>
    <w:rsid w:val="001B766F"/>
    <w:rsid w:val="001C152F"/>
    <w:rsid w:val="001C20AA"/>
    <w:rsid w:val="001C22A1"/>
    <w:rsid w:val="001D21BF"/>
    <w:rsid w:val="001D3688"/>
    <w:rsid w:val="001F08AB"/>
    <w:rsid w:val="001F11F3"/>
    <w:rsid w:val="001F5169"/>
    <w:rsid w:val="00204386"/>
    <w:rsid w:val="00206772"/>
    <w:rsid w:val="00210360"/>
    <w:rsid w:val="00211302"/>
    <w:rsid w:val="00215AA8"/>
    <w:rsid w:val="00222412"/>
    <w:rsid w:val="00224FDA"/>
    <w:rsid w:val="00236EED"/>
    <w:rsid w:val="0024078A"/>
    <w:rsid w:val="0024505A"/>
    <w:rsid w:val="00245C07"/>
    <w:rsid w:val="00251CDA"/>
    <w:rsid w:val="002579BA"/>
    <w:rsid w:val="00262EFC"/>
    <w:rsid w:val="00263F5E"/>
    <w:rsid w:val="002647A6"/>
    <w:rsid w:val="00267821"/>
    <w:rsid w:val="00273158"/>
    <w:rsid w:val="0027464D"/>
    <w:rsid w:val="00275B35"/>
    <w:rsid w:val="00282B75"/>
    <w:rsid w:val="00291A71"/>
    <w:rsid w:val="00293C3B"/>
    <w:rsid w:val="002A3703"/>
    <w:rsid w:val="002A731B"/>
    <w:rsid w:val="002B0E4B"/>
    <w:rsid w:val="002B2373"/>
    <w:rsid w:val="002B5717"/>
    <w:rsid w:val="002B5B0A"/>
    <w:rsid w:val="002C0392"/>
    <w:rsid w:val="002C0522"/>
    <w:rsid w:val="002C2821"/>
    <w:rsid w:val="002C68FF"/>
    <w:rsid w:val="002D010D"/>
    <w:rsid w:val="002D0A34"/>
    <w:rsid w:val="002D0CE6"/>
    <w:rsid w:val="002D2E49"/>
    <w:rsid w:val="002D7A4A"/>
    <w:rsid w:val="002E2BCC"/>
    <w:rsid w:val="002E3FE6"/>
    <w:rsid w:val="002F501B"/>
    <w:rsid w:val="00310F1A"/>
    <w:rsid w:val="003220B2"/>
    <w:rsid w:val="003227EE"/>
    <w:rsid w:val="00327830"/>
    <w:rsid w:val="00331066"/>
    <w:rsid w:val="003371E2"/>
    <w:rsid w:val="003426EC"/>
    <w:rsid w:val="00342D2E"/>
    <w:rsid w:val="003545E3"/>
    <w:rsid w:val="00354865"/>
    <w:rsid w:val="003558E9"/>
    <w:rsid w:val="0035665E"/>
    <w:rsid w:val="00360429"/>
    <w:rsid w:val="0036501D"/>
    <w:rsid w:val="0037110C"/>
    <w:rsid w:val="00376DAE"/>
    <w:rsid w:val="003772B1"/>
    <w:rsid w:val="003772B2"/>
    <w:rsid w:val="00383282"/>
    <w:rsid w:val="00383472"/>
    <w:rsid w:val="00384593"/>
    <w:rsid w:val="00387980"/>
    <w:rsid w:val="003901B5"/>
    <w:rsid w:val="003944AB"/>
    <w:rsid w:val="00394DEC"/>
    <w:rsid w:val="003A050E"/>
    <w:rsid w:val="003A13B7"/>
    <w:rsid w:val="003A13FC"/>
    <w:rsid w:val="003A37C9"/>
    <w:rsid w:val="003A42E2"/>
    <w:rsid w:val="003A5292"/>
    <w:rsid w:val="003B7E3F"/>
    <w:rsid w:val="003C4B8E"/>
    <w:rsid w:val="003D0B7B"/>
    <w:rsid w:val="003D36B6"/>
    <w:rsid w:val="003D4DC6"/>
    <w:rsid w:val="003D57E2"/>
    <w:rsid w:val="003D7157"/>
    <w:rsid w:val="003E00CD"/>
    <w:rsid w:val="003E2788"/>
    <w:rsid w:val="003F34BA"/>
    <w:rsid w:val="0040371F"/>
    <w:rsid w:val="00406835"/>
    <w:rsid w:val="004076BC"/>
    <w:rsid w:val="0041598C"/>
    <w:rsid w:val="004251C8"/>
    <w:rsid w:val="00425D2B"/>
    <w:rsid w:val="00434A31"/>
    <w:rsid w:val="00434F9F"/>
    <w:rsid w:val="00435F8B"/>
    <w:rsid w:val="00436140"/>
    <w:rsid w:val="00437F1E"/>
    <w:rsid w:val="00440B15"/>
    <w:rsid w:val="00441020"/>
    <w:rsid w:val="00441A3F"/>
    <w:rsid w:val="0044552D"/>
    <w:rsid w:val="00446362"/>
    <w:rsid w:val="00462291"/>
    <w:rsid w:val="00462349"/>
    <w:rsid w:val="004626FD"/>
    <w:rsid w:val="0047725E"/>
    <w:rsid w:val="004838BB"/>
    <w:rsid w:val="00484799"/>
    <w:rsid w:val="00486F25"/>
    <w:rsid w:val="00490BFD"/>
    <w:rsid w:val="004948E9"/>
    <w:rsid w:val="004A0FBB"/>
    <w:rsid w:val="004A149A"/>
    <w:rsid w:val="004A165C"/>
    <w:rsid w:val="004A1AB3"/>
    <w:rsid w:val="004B51AA"/>
    <w:rsid w:val="004B7EC7"/>
    <w:rsid w:val="004C1521"/>
    <w:rsid w:val="004C5AC3"/>
    <w:rsid w:val="004D70DA"/>
    <w:rsid w:val="004D7F75"/>
    <w:rsid w:val="004E0083"/>
    <w:rsid w:val="004E5EA8"/>
    <w:rsid w:val="004F0846"/>
    <w:rsid w:val="005000C7"/>
    <w:rsid w:val="00501F0B"/>
    <w:rsid w:val="00510AE3"/>
    <w:rsid w:val="00511225"/>
    <w:rsid w:val="00513C77"/>
    <w:rsid w:val="005239C8"/>
    <w:rsid w:val="005277AC"/>
    <w:rsid w:val="00530059"/>
    <w:rsid w:val="00535FB7"/>
    <w:rsid w:val="005501A8"/>
    <w:rsid w:val="00554B49"/>
    <w:rsid w:val="0055576C"/>
    <w:rsid w:val="0056638B"/>
    <w:rsid w:val="00567686"/>
    <w:rsid w:val="005707B9"/>
    <w:rsid w:val="005722E4"/>
    <w:rsid w:val="005755AC"/>
    <w:rsid w:val="0058370F"/>
    <w:rsid w:val="0058431A"/>
    <w:rsid w:val="00584D3B"/>
    <w:rsid w:val="00590093"/>
    <w:rsid w:val="005A0009"/>
    <w:rsid w:val="005A3922"/>
    <w:rsid w:val="005A769A"/>
    <w:rsid w:val="005B7B22"/>
    <w:rsid w:val="005C0AED"/>
    <w:rsid w:val="005C49DE"/>
    <w:rsid w:val="005C4F89"/>
    <w:rsid w:val="005C739E"/>
    <w:rsid w:val="005D6590"/>
    <w:rsid w:val="005E3974"/>
    <w:rsid w:val="005E42E8"/>
    <w:rsid w:val="005E604C"/>
    <w:rsid w:val="005F3064"/>
    <w:rsid w:val="005F70C2"/>
    <w:rsid w:val="006008BC"/>
    <w:rsid w:val="00600EBD"/>
    <w:rsid w:val="0060129C"/>
    <w:rsid w:val="00601ABC"/>
    <w:rsid w:val="0061032C"/>
    <w:rsid w:val="00611272"/>
    <w:rsid w:val="00611BDB"/>
    <w:rsid w:val="00612A2D"/>
    <w:rsid w:val="00615396"/>
    <w:rsid w:val="00615A5F"/>
    <w:rsid w:val="00631421"/>
    <w:rsid w:val="00631F02"/>
    <w:rsid w:val="0063498E"/>
    <w:rsid w:val="00634E6C"/>
    <w:rsid w:val="00651C24"/>
    <w:rsid w:val="006602FA"/>
    <w:rsid w:val="00660DF7"/>
    <w:rsid w:val="00665C48"/>
    <w:rsid w:val="00666331"/>
    <w:rsid w:val="00672874"/>
    <w:rsid w:val="00673593"/>
    <w:rsid w:val="00674A42"/>
    <w:rsid w:val="0067564D"/>
    <w:rsid w:val="00680BFB"/>
    <w:rsid w:val="00682373"/>
    <w:rsid w:val="00682FE2"/>
    <w:rsid w:val="00684BF9"/>
    <w:rsid w:val="00693922"/>
    <w:rsid w:val="00694568"/>
    <w:rsid w:val="006A15D4"/>
    <w:rsid w:val="006A43BA"/>
    <w:rsid w:val="006A7A6D"/>
    <w:rsid w:val="006B0115"/>
    <w:rsid w:val="006B7FC2"/>
    <w:rsid w:val="006C4E86"/>
    <w:rsid w:val="006D1587"/>
    <w:rsid w:val="006D1A66"/>
    <w:rsid w:val="006D2EDF"/>
    <w:rsid w:val="006D652D"/>
    <w:rsid w:val="006D6939"/>
    <w:rsid w:val="006E203E"/>
    <w:rsid w:val="006E5816"/>
    <w:rsid w:val="006E7145"/>
    <w:rsid w:val="006F1B42"/>
    <w:rsid w:val="007033F6"/>
    <w:rsid w:val="007039CE"/>
    <w:rsid w:val="007052E2"/>
    <w:rsid w:val="00713080"/>
    <w:rsid w:val="00723A8E"/>
    <w:rsid w:val="007259B9"/>
    <w:rsid w:val="00730B9B"/>
    <w:rsid w:val="007347D2"/>
    <w:rsid w:val="00734874"/>
    <w:rsid w:val="007405F0"/>
    <w:rsid w:val="00743F58"/>
    <w:rsid w:val="00761E7F"/>
    <w:rsid w:val="00770E9E"/>
    <w:rsid w:val="007712E0"/>
    <w:rsid w:val="0078203A"/>
    <w:rsid w:val="007827E3"/>
    <w:rsid w:val="00783CAE"/>
    <w:rsid w:val="00795316"/>
    <w:rsid w:val="007A0588"/>
    <w:rsid w:val="007A4491"/>
    <w:rsid w:val="007B799F"/>
    <w:rsid w:val="007C4855"/>
    <w:rsid w:val="007C5C2D"/>
    <w:rsid w:val="007C72AB"/>
    <w:rsid w:val="007E17F8"/>
    <w:rsid w:val="007E292D"/>
    <w:rsid w:val="007E2CB2"/>
    <w:rsid w:val="007F1F08"/>
    <w:rsid w:val="007F5783"/>
    <w:rsid w:val="007F74AE"/>
    <w:rsid w:val="0080605A"/>
    <w:rsid w:val="0080610E"/>
    <w:rsid w:val="008130F1"/>
    <w:rsid w:val="0081648A"/>
    <w:rsid w:val="00823DD9"/>
    <w:rsid w:val="00825D9E"/>
    <w:rsid w:val="008405C6"/>
    <w:rsid w:val="008512A2"/>
    <w:rsid w:val="00852527"/>
    <w:rsid w:val="00856B9F"/>
    <w:rsid w:val="00856D93"/>
    <w:rsid w:val="0085715B"/>
    <w:rsid w:val="00857890"/>
    <w:rsid w:val="00867395"/>
    <w:rsid w:val="00870D06"/>
    <w:rsid w:val="008714C8"/>
    <w:rsid w:val="008722FA"/>
    <w:rsid w:val="00875490"/>
    <w:rsid w:val="0087732E"/>
    <w:rsid w:val="00880C43"/>
    <w:rsid w:val="00885F0B"/>
    <w:rsid w:val="00892FD8"/>
    <w:rsid w:val="008932AA"/>
    <w:rsid w:val="00896477"/>
    <w:rsid w:val="008A08C7"/>
    <w:rsid w:val="008A1538"/>
    <w:rsid w:val="008A3164"/>
    <w:rsid w:val="008A4AD7"/>
    <w:rsid w:val="008C1F3B"/>
    <w:rsid w:val="008D1C34"/>
    <w:rsid w:val="008E4CCD"/>
    <w:rsid w:val="008E5A49"/>
    <w:rsid w:val="008E72D8"/>
    <w:rsid w:val="008E79B7"/>
    <w:rsid w:val="008F63A8"/>
    <w:rsid w:val="009011DF"/>
    <w:rsid w:val="00905321"/>
    <w:rsid w:val="00911261"/>
    <w:rsid w:val="00913096"/>
    <w:rsid w:val="00913829"/>
    <w:rsid w:val="00915D7B"/>
    <w:rsid w:val="0091686C"/>
    <w:rsid w:val="00931290"/>
    <w:rsid w:val="00951998"/>
    <w:rsid w:val="009555D4"/>
    <w:rsid w:val="00966C9A"/>
    <w:rsid w:val="009776DA"/>
    <w:rsid w:val="00981884"/>
    <w:rsid w:val="00981F8C"/>
    <w:rsid w:val="009853A5"/>
    <w:rsid w:val="00990360"/>
    <w:rsid w:val="00997A0D"/>
    <w:rsid w:val="009A1949"/>
    <w:rsid w:val="009A1D2B"/>
    <w:rsid w:val="009A4B51"/>
    <w:rsid w:val="009B1FFA"/>
    <w:rsid w:val="009B3680"/>
    <w:rsid w:val="009D1716"/>
    <w:rsid w:val="009D2FAE"/>
    <w:rsid w:val="009D6CB3"/>
    <w:rsid w:val="009E0649"/>
    <w:rsid w:val="009E0B2B"/>
    <w:rsid w:val="009E4885"/>
    <w:rsid w:val="009E6C7B"/>
    <w:rsid w:val="009F06E8"/>
    <w:rsid w:val="009F1796"/>
    <w:rsid w:val="009F1CA6"/>
    <w:rsid w:val="009F37AA"/>
    <w:rsid w:val="009F537B"/>
    <w:rsid w:val="00A02256"/>
    <w:rsid w:val="00A03793"/>
    <w:rsid w:val="00A03CDB"/>
    <w:rsid w:val="00A04F5D"/>
    <w:rsid w:val="00A12356"/>
    <w:rsid w:val="00A1630B"/>
    <w:rsid w:val="00A1782E"/>
    <w:rsid w:val="00A210C3"/>
    <w:rsid w:val="00A25796"/>
    <w:rsid w:val="00A25E9E"/>
    <w:rsid w:val="00A33009"/>
    <w:rsid w:val="00A36B72"/>
    <w:rsid w:val="00A40A52"/>
    <w:rsid w:val="00A4142F"/>
    <w:rsid w:val="00A448E5"/>
    <w:rsid w:val="00A476A7"/>
    <w:rsid w:val="00A51AC7"/>
    <w:rsid w:val="00A53652"/>
    <w:rsid w:val="00A549D4"/>
    <w:rsid w:val="00A55468"/>
    <w:rsid w:val="00A5713B"/>
    <w:rsid w:val="00A57B6C"/>
    <w:rsid w:val="00A631FC"/>
    <w:rsid w:val="00A64A0F"/>
    <w:rsid w:val="00A66D11"/>
    <w:rsid w:val="00A707EF"/>
    <w:rsid w:val="00A74E59"/>
    <w:rsid w:val="00A76628"/>
    <w:rsid w:val="00A76C4B"/>
    <w:rsid w:val="00A821B5"/>
    <w:rsid w:val="00A965F8"/>
    <w:rsid w:val="00AA0AFD"/>
    <w:rsid w:val="00AB16E8"/>
    <w:rsid w:val="00AB5CC4"/>
    <w:rsid w:val="00AB79DC"/>
    <w:rsid w:val="00AC244E"/>
    <w:rsid w:val="00AC29BD"/>
    <w:rsid w:val="00AC6F00"/>
    <w:rsid w:val="00AD1526"/>
    <w:rsid w:val="00AD1BD3"/>
    <w:rsid w:val="00AD56CE"/>
    <w:rsid w:val="00AD5F07"/>
    <w:rsid w:val="00AD68FA"/>
    <w:rsid w:val="00AE51AE"/>
    <w:rsid w:val="00B057B7"/>
    <w:rsid w:val="00B161C5"/>
    <w:rsid w:val="00B17E85"/>
    <w:rsid w:val="00B22F1A"/>
    <w:rsid w:val="00B231EA"/>
    <w:rsid w:val="00B25630"/>
    <w:rsid w:val="00B36F5B"/>
    <w:rsid w:val="00B4067E"/>
    <w:rsid w:val="00B43773"/>
    <w:rsid w:val="00B50DAD"/>
    <w:rsid w:val="00B54493"/>
    <w:rsid w:val="00B613F9"/>
    <w:rsid w:val="00B618C1"/>
    <w:rsid w:val="00B61921"/>
    <w:rsid w:val="00B6376A"/>
    <w:rsid w:val="00B63860"/>
    <w:rsid w:val="00B638BD"/>
    <w:rsid w:val="00B71F99"/>
    <w:rsid w:val="00B73C5D"/>
    <w:rsid w:val="00B76732"/>
    <w:rsid w:val="00B80711"/>
    <w:rsid w:val="00B8085E"/>
    <w:rsid w:val="00B833C8"/>
    <w:rsid w:val="00B8575A"/>
    <w:rsid w:val="00B85C91"/>
    <w:rsid w:val="00B861E8"/>
    <w:rsid w:val="00B86C76"/>
    <w:rsid w:val="00B91F56"/>
    <w:rsid w:val="00B9239E"/>
    <w:rsid w:val="00B948B0"/>
    <w:rsid w:val="00BA0C6C"/>
    <w:rsid w:val="00BA7F04"/>
    <w:rsid w:val="00BB157C"/>
    <w:rsid w:val="00BB42FD"/>
    <w:rsid w:val="00BB4436"/>
    <w:rsid w:val="00BB56FA"/>
    <w:rsid w:val="00BC2F33"/>
    <w:rsid w:val="00BC4D22"/>
    <w:rsid w:val="00BD48ED"/>
    <w:rsid w:val="00BE14C2"/>
    <w:rsid w:val="00BE5F91"/>
    <w:rsid w:val="00BE710E"/>
    <w:rsid w:val="00BF0608"/>
    <w:rsid w:val="00BF06F8"/>
    <w:rsid w:val="00BF15E0"/>
    <w:rsid w:val="00BF1C6A"/>
    <w:rsid w:val="00BF3778"/>
    <w:rsid w:val="00BF53E5"/>
    <w:rsid w:val="00BF6688"/>
    <w:rsid w:val="00C00B24"/>
    <w:rsid w:val="00C01F8D"/>
    <w:rsid w:val="00C03C7B"/>
    <w:rsid w:val="00C03CDB"/>
    <w:rsid w:val="00C05D97"/>
    <w:rsid w:val="00C068A2"/>
    <w:rsid w:val="00C17EEA"/>
    <w:rsid w:val="00C20DA5"/>
    <w:rsid w:val="00C238BB"/>
    <w:rsid w:val="00C23F16"/>
    <w:rsid w:val="00C24BE6"/>
    <w:rsid w:val="00C339A0"/>
    <w:rsid w:val="00C40F36"/>
    <w:rsid w:val="00C458C7"/>
    <w:rsid w:val="00C53267"/>
    <w:rsid w:val="00C652BA"/>
    <w:rsid w:val="00C735E7"/>
    <w:rsid w:val="00C76667"/>
    <w:rsid w:val="00C7687A"/>
    <w:rsid w:val="00C807EA"/>
    <w:rsid w:val="00C82E41"/>
    <w:rsid w:val="00C87BBF"/>
    <w:rsid w:val="00C949DE"/>
    <w:rsid w:val="00C94E07"/>
    <w:rsid w:val="00CA35AB"/>
    <w:rsid w:val="00CA7ABD"/>
    <w:rsid w:val="00CB1897"/>
    <w:rsid w:val="00CC0E2F"/>
    <w:rsid w:val="00CC1A22"/>
    <w:rsid w:val="00CC4B2B"/>
    <w:rsid w:val="00CD1546"/>
    <w:rsid w:val="00CD3822"/>
    <w:rsid w:val="00CD6914"/>
    <w:rsid w:val="00CE0E95"/>
    <w:rsid w:val="00CE16E6"/>
    <w:rsid w:val="00CE27A7"/>
    <w:rsid w:val="00CE5E19"/>
    <w:rsid w:val="00CE5FCB"/>
    <w:rsid w:val="00CF1B66"/>
    <w:rsid w:val="00CF3729"/>
    <w:rsid w:val="00CF3CD3"/>
    <w:rsid w:val="00CF6B5F"/>
    <w:rsid w:val="00D1239D"/>
    <w:rsid w:val="00D243F2"/>
    <w:rsid w:val="00D35595"/>
    <w:rsid w:val="00D36191"/>
    <w:rsid w:val="00D36F6E"/>
    <w:rsid w:val="00D43C82"/>
    <w:rsid w:val="00D46BC1"/>
    <w:rsid w:val="00D50233"/>
    <w:rsid w:val="00D50758"/>
    <w:rsid w:val="00D5320E"/>
    <w:rsid w:val="00D549B0"/>
    <w:rsid w:val="00D60C26"/>
    <w:rsid w:val="00D619D3"/>
    <w:rsid w:val="00D629AC"/>
    <w:rsid w:val="00D64E30"/>
    <w:rsid w:val="00D741AA"/>
    <w:rsid w:val="00D75820"/>
    <w:rsid w:val="00D766C4"/>
    <w:rsid w:val="00D7688D"/>
    <w:rsid w:val="00D9397C"/>
    <w:rsid w:val="00D96143"/>
    <w:rsid w:val="00DA45BB"/>
    <w:rsid w:val="00DB04FB"/>
    <w:rsid w:val="00DC1A23"/>
    <w:rsid w:val="00DC4787"/>
    <w:rsid w:val="00DD3CF5"/>
    <w:rsid w:val="00DD7927"/>
    <w:rsid w:val="00DF2272"/>
    <w:rsid w:val="00E000CE"/>
    <w:rsid w:val="00E068B3"/>
    <w:rsid w:val="00E07BB3"/>
    <w:rsid w:val="00E13208"/>
    <w:rsid w:val="00E13C23"/>
    <w:rsid w:val="00E15A63"/>
    <w:rsid w:val="00E15B8B"/>
    <w:rsid w:val="00E313B2"/>
    <w:rsid w:val="00E3364E"/>
    <w:rsid w:val="00E425CF"/>
    <w:rsid w:val="00E50E2B"/>
    <w:rsid w:val="00E523A0"/>
    <w:rsid w:val="00E52CD9"/>
    <w:rsid w:val="00E631D4"/>
    <w:rsid w:val="00E64926"/>
    <w:rsid w:val="00E659D4"/>
    <w:rsid w:val="00E71409"/>
    <w:rsid w:val="00E71D92"/>
    <w:rsid w:val="00E74F05"/>
    <w:rsid w:val="00E7601F"/>
    <w:rsid w:val="00E767E1"/>
    <w:rsid w:val="00E77F2C"/>
    <w:rsid w:val="00E93299"/>
    <w:rsid w:val="00E94AAD"/>
    <w:rsid w:val="00E94FC5"/>
    <w:rsid w:val="00E9595C"/>
    <w:rsid w:val="00E95D90"/>
    <w:rsid w:val="00E9711F"/>
    <w:rsid w:val="00EA36CC"/>
    <w:rsid w:val="00EB1124"/>
    <w:rsid w:val="00EB51F1"/>
    <w:rsid w:val="00EB5A2A"/>
    <w:rsid w:val="00EB5A68"/>
    <w:rsid w:val="00EC07B7"/>
    <w:rsid w:val="00EC16FF"/>
    <w:rsid w:val="00EC5271"/>
    <w:rsid w:val="00ED31C4"/>
    <w:rsid w:val="00ED6404"/>
    <w:rsid w:val="00EE02FF"/>
    <w:rsid w:val="00EE2BC5"/>
    <w:rsid w:val="00EE6598"/>
    <w:rsid w:val="00EF2959"/>
    <w:rsid w:val="00EF32D7"/>
    <w:rsid w:val="00F02334"/>
    <w:rsid w:val="00F0329B"/>
    <w:rsid w:val="00F036C9"/>
    <w:rsid w:val="00F06BA7"/>
    <w:rsid w:val="00F108CE"/>
    <w:rsid w:val="00F33465"/>
    <w:rsid w:val="00F37CE7"/>
    <w:rsid w:val="00F37D98"/>
    <w:rsid w:val="00F4346D"/>
    <w:rsid w:val="00F575F4"/>
    <w:rsid w:val="00F60EB0"/>
    <w:rsid w:val="00F61D8E"/>
    <w:rsid w:val="00F62C67"/>
    <w:rsid w:val="00F6468F"/>
    <w:rsid w:val="00F67E55"/>
    <w:rsid w:val="00F73923"/>
    <w:rsid w:val="00F754F8"/>
    <w:rsid w:val="00F7687F"/>
    <w:rsid w:val="00F76A5A"/>
    <w:rsid w:val="00F90128"/>
    <w:rsid w:val="00F95E4B"/>
    <w:rsid w:val="00FA18A4"/>
    <w:rsid w:val="00FA473D"/>
    <w:rsid w:val="00FA6CD2"/>
    <w:rsid w:val="00FB0E34"/>
    <w:rsid w:val="00FB1971"/>
    <w:rsid w:val="00FB215B"/>
    <w:rsid w:val="00FC334D"/>
    <w:rsid w:val="00FC4887"/>
    <w:rsid w:val="00FC6CF3"/>
    <w:rsid w:val="00FC6FE4"/>
    <w:rsid w:val="00FD23DB"/>
    <w:rsid w:val="00FD6E1E"/>
    <w:rsid w:val="00FE3671"/>
    <w:rsid w:val="00FE7C12"/>
    <w:rsid w:val="00FF08B6"/>
    <w:rsid w:val="00FF52EA"/>
    <w:rsid w:val="00FF7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F85C05-9DE2-4FC2-B507-F5B0F579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67E"/>
    <w:pPr>
      <w:tabs>
        <w:tab w:val="left" w:pos="864"/>
        <w:tab w:val="left" w:pos="1728"/>
      </w:tabs>
      <w:jc w:val="both"/>
    </w:pPr>
    <w:rPr>
      <w:rFonts w:ascii="Arial" w:hAnsi="Arial"/>
      <w:sz w:val="22"/>
      <w:lang w:eastAsia="en-US"/>
    </w:rPr>
  </w:style>
  <w:style w:type="paragraph" w:styleId="Heading2">
    <w:name w:val="heading 2"/>
    <w:basedOn w:val="Normal"/>
    <w:next w:val="Normal"/>
    <w:link w:val="Heading2Char"/>
    <w:semiHidden/>
    <w:unhideWhenUsed/>
    <w:qFormat/>
    <w:rsid w:val="00025F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A36CC"/>
    <w:pPr>
      <w:keepNext/>
      <w:tabs>
        <w:tab w:val="clear" w:pos="864"/>
        <w:tab w:val="clear" w:pos="1728"/>
      </w:tabs>
      <w:outlineLvl w:val="2"/>
    </w:pPr>
    <w:rPr>
      <w:rFonts w:ascii="Verdana" w:hAnsi="Verdana" w:cs="Arial"/>
      <w:b/>
      <w:bCs/>
      <w:i/>
      <w:color w:val="002060"/>
      <w:spacing w:val="20"/>
      <w:sz w:val="20"/>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067E"/>
    <w:pPr>
      <w:tabs>
        <w:tab w:val="center" w:pos="4153"/>
        <w:tab w:val="right" w:pos="8306"/>
      </w:tabs>
    </w:pPr>
  </w:style>
  <w:style w:type="paragraph" w:styleId="Footer">
    <w:name w:val="footer"/>
    <w:basedOn w:val="Normal"/>
    <w:link w:val="FooterChar"/>
    <w:uiPriority w:val="99"/>
    <w:rsid w:val="00B4067E"/>
    <w:pPr>
      <w:tabs>
        <w:tab w:val="center" w:pos="4153"/>
        <w:tab w:val="right" w:pos="8306"/>
      </w:tabs>
    </w:pPr>
  </w:style>
  <w:style w:type="character" w:customStyle="1" w:styleId="HeaderChar">
    <w:name w:val="Header Char"/>
    <w:basedOn w:val="DefaultParagraphFont"/>
    <w:link w:val="Header"/>
    <w:uiPriority w:val="99"/>
    <w:locked/>
    <w:rsid w:val="00B4067E"/>
    <w:rPr>
      <w:sz w:val="24"/>
      <w:szCs w:val="24"/>
      <w:lang w:val="en-AU" w:eastAsia="en-AU" w:bidi="ar-SA"/>
    </w:rPr>
  </w:style>
  <w:style w:type="character" w:styleId="PageNumber">
    <w:name w:val="page number"/>
    <w:basedOn w:val="DefaultParagraphFont"/>
    <w:rsid w:val="00B4067E"/>
  </w:style>
  <w:style w:type="paragraph" w:styleId="ListParagraph">
    <w:name w:val="List Paragraph"/>
    <w:basedOn w:val="Normal"/>
    <w:uiPriority w:val="34"/>
    <w:qFormat/>
    <w:rsid w:val="00354865"/>
    <w:pPr>
      <w:ind w:left="720"/>
      <w:contextualSpacing/>
    </w:pPr>
  </w:style>
  <w:style w:type="table" w:styleId="TableGrid">
    <w:name w:val="Table Grid"/>
    <w:basedOn w:val="TableNormal"/>
    <w:rsid w:val="00CD69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55F4A"/>
    <w:rPr>
      <w:rFonts w:ascii="Tahoma" w:hAnsi="Tahoma" w:cs="Tahoma"/>
      <w:sz w:val="16"/>
      <w:szCs w:val="16"/>
    </w:rPr>
  </w:style>
  <w:style w:type="character" w:customStyle="1" w:styleId="BalloonTextChar">
    <w:name w:val="Balloon Text Char"/>
    <w:basedOn w:val="DefaultParagraphFont"/>
    <w:link w:val="BalloonText"/>
    <w:rsid w:val="00155F4A"/>
    <w:rPr>
      <w:rFonts w:ascii="Tahoma" w:hAnsi="Tahoma" w:cs="Tahoma"/>
      <w:sz w:val="16"/>
      <w:szCs w:val="16"/>
      <w:lang w:eastAsia="en-US"/>
    </w:rPr>
  </w:style>
  <w:style w:type="character" w:customStyle="1" w:styleId="FooterChar">
    <w:name w:val="Footer Char"/>
    <w:basedOn w:val="DefaultParagraphFont"/>
    <w:link w:val="Footer"/>
    <w:uiPriority w:val="99"/>
    <w:rsid w:val="00441A3F"/>
    <w:rPr>
      <w:rFonts w:ascii="Arial" w:hAnsi="Arial"/>
      <w:sz w:val="22"/>
      <w:lang w:eastAsia="en-US"/>
    </w:rPr>
  </w:style>
  <w:style w:type="paragraph" w:customStyle="1" w:styleId="Default">
    <w:name w:val="Default"/>
    <w:rsid w:val="00BF15E0"/>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BF15E0"/>
    <w:rPr>
      <w:color w:val="0000FF" w:themeColor="hyperlink"/>
      <w:u w:val="single"/>
    </w:rPr>
  </w:style>
  <w:style w:type="paragraph" w:styleId="FootnoteText">
    <w:name w:val="footnote text"/>
    <w:basedOn w:val="Normal"/>
    <w:link w:val="FootnoteTextChar"/>
    <w:uiPriority w:val="99"/>
    <w:rsid w:val="00EA36CC"/>
    <w:pPr>
      <w:tabs>
        <w:tab w:val="clear" w:pos="864"/>
        <w:tab w:val="clear" w:pos="1728"/>
      </w:tabs>
      <w:spacing w:line="312" w:lineRule="auto"/>
    </w:pPr>
    <w:rPr>
      <w:rFonts w:ascii="Verdana" w:hAnsi="Verdana"/>
      <w:sz w:val="18"/>
      <w:lang w:eastAsia="en-AU"/>
    </w:rPr>
  </w:style>
  <w:style w:type="character" w:customStyle="1" w:styleId="FootnoteTextChar">
    <w:name w:val="Footnote Text Char"/>
    <w:basedOn w:val="DefaultParagraphFont"/>
    <w:link w:val="FootnoteText"/>
    <w:uiPriority w:val="99"/>
    <w:rsid w:val="00EA36CC"/>
    <w:rPr>
      <w:rFonts w:ascii="Verdana" w:hAnsi="Verdana"/>
      <w:sz w:val="18"/>
    </w:rPr>
  </w:style>
  <w:style w:type="character" w:styleId="FootnoteReference">
    <w:name w:val="footnote reference"/>
    <w:basedOn w:val="DefaultParagraphFont"/>
    <w:uiPriority w:val="99"/>
    <w:rsid w:val="00EA36CC"/>
    <w:rPr>
      <w:rFonts w:cs="Times New Roman"/>
      <w:vertAlign w:val="superscript"/>
    </w:rPr>
  </w:style>
  <w:style w:type="character" w:customStyle="1" w:styleId="Heading3Char">
    <w:name w:val="Heading 3 Char"/>
    <w:basedOn w:val="DefaultParagraphFont"/>
    <w:link w:val="Heading3"/>
    <w:uiPriority w:val="99"/>
    <w:rsid w:val="00EA36CC"/>
    <w:rPr>
      <w:rFonts w:ascii="Verdana" w:hAnsi="Verdana" w:cs="Arial"/>
      <w:b/>
      <w:bCs/>
      <w:i/>
      <w:color w:val="002060"/>
      <w:spacing w:val="20"/>
      <w:szCs w:val="26"/>
    </w:rPr>
  </w:style>
  <w:style w:type="character" w:customStyle="1" w:styleId="Heading2Char">
    <w:name w:val="Heading 2 Char"/>
    <w:basedOn w:val="DefaultParagraphFont"/>
    <w:link w:val="Heading2"/>
    <w:semiHidden/>
    <w:rsid w:val="00025FF6"/>
    <w:rPr>
      <w:rFonts w:asciiTheme="majorHAnsi" w:eastAsiaTheme="majorEastAsia" w:hAnsiTheme="majorHAnsi" w:cstheme="majorBidi"/>
      <w:color w:val="365F91" w:themeColor="accent1" w:themeShade="BF"/>
      <w:sz w:val="26"/>
      <w:szCs w:val="26"/>
      <w:lang w:eastAsia="en-US"/>
    </w:rPr>
  </w:style>
  <w:style w:type="paragraph" w:styleId="EndnoteText">
    <w:name w:val="endnote text"/>
    <w:basedOn w:val="Normal"/>
    <w:link w:val="EndnoteTextChar"/>
    <w:semiHidden/>
    <w:unhideWhenUsed/>
    <w:rsid w:val="00673593"/>
    <w:rPr>
      <w:sz w:val="20"/>
    </w:rPr>
  </w:style>
  <w:style w:type="character" w:customStyle="1" w:styleId="EndnoteTextChar">
    <w:name w:val="Endnote Text Char"/>
    <w:basedOn w:val="DefaultParagraphFont"/>
    <w:link w:val="EndnoteText"/>
    <w:semiHidden/>
    <w:rsid w:val="00673593"/>
    <w:rPr>
      <w:rFonts w:ascii="Arial" w:hAnsi="Arial"/>
      <w:lang w:eastAsia="en-US"/>
    </w:rPr>
  </w:style>
  <w:style w:type="character" w:styleId="EndnoteReference">
    <w:name w:val="endnote reference"/>
    <w:basedOn w:val="DefaultParagraphFont"/>
    <w:semiHidden/>
    <w:unhideWhenUsed/>
    <w:rsid w:val="00673593"/>
    <w:rPr>
      <w:vertAlign w:val="superscript"/>
    </w:rPr>
  </w:style>
  <w:style w:type="paragraph" w:styleId="Subtitle">
    <w:name w:val="Subtitle"/>
    <w:basedOn w:val="Normal"/>
    <w:link w:val="SubtitleChar"/>
    <w:qFormat/>
    <w:rsid w:val="005F70C2"/>
    <w:pPr>
      <w:tabs>
        <w:tab w:val="clear" w:pos="864"/>
        <w:tab w:val="clear" w:pos="1728"/>
      </w:tabs>
      <w:jc w:val="center"/>
    </w:pPr>
    <w:rPr>
      <w:rFonts w:ascii="Arial Black" w:hAnsi="Arial Black"/>
      <w:b/>
      <w:sz w:val="32"/>
      <w:lang w:val="en-US"/>
    </w:rPr>
  </w:style>
  <w:style w:type="character" w:customStyle="1" w:styleId="SubtitleChar">
    <w:name w:val="Subtitle Char"/>
    <w:basedOn w:val="DefaultParagraphFont"/>
    <w:link w:val="Subtitle"/>
    <w:rsid w:val="005F70C2"/>
    <w:rPr>
      <w:rFonts w:ascii="Arial Black" w:hAnsi="Arial Black"/>
      <w:b/>
      <w:sz w:val="32"/>
      <w:lang w:val="en-US" w:eastAsia="en-US"/>
    </w:rPr>
  </w:style>
  <w:style w:type="paragraph" w:customStyle="1" w:styleId="Body1">
    <w:name w:val="Body1"/>
    <w:basedOn w:val="Normal"/>
    <w:link w:val="Body1Char"/>
    <w:qFormat/>
    <w:rsid w:val="009A1D2B"/>
    <w:pPr>
      <w:tabs>
        <w:tab w:val="clear" w:pos="864"/>
        <w:tab w:val="clear" w:pos="1728"/>
      </w:tabs>
      <w:spacing w:before="120" w:after="120" w:line="259" w:lineRule="auto"/>
    </w:pPr>
    <w:rPr>
      <w:rFonts w:ascii="Calibri Light" w:eastAsiaTheme="minorHAnsi" w:hAnsi="Calibri Light" w:cstheme="minorBidi"/>
      <w:color w:val="000000" w:themeColor="text1"/>
      <w:szCs w:val="22"/>
    </w:rPr>
  </w:style>
  <w:style w:type="character" w:customStyle="1" w:styleId="Body1Char">
    <w:name w:val="Body1 Char"/>
    <w:basedOn w:val="DefaultParagraphFont"/>
    <w:link w:val="Body1"/>
    <w:rsid w:val="009A1D2B"/>
    <w:rPr>
      <w:rFonts w:ascii="Calibri Light" w:eastAsiaTheme="minorHAnsi" w:hAnsi="Calibri Light" w:cstheme="minorBidi"/>
      <w:color w:val="000000" w:themeColor="text1"/>
      <w:sz w:val="22"/>
      <w:szCs w:val="22"/>
      <w:lang w:eastAsia="en-US"/>
    </w:rPr>
  </w:style>
  <w:style w:type="paragraph" w:styleId="NoSpacing">
    <w:name w:val="No Spacing"/>
    <w:uiPriority w:val="1"/>
    <w:qFormat/>
    <w:rsid w:val="009A1D2B"/>
    <w:pPr>
      <w:tabs>
        <w:tab w:val="left" w:pos="864"/>
        <w:tab w:val="left" w:pos="1728"/>
      </w:tabs>
      <w:jc w:val="both"/>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lgsc.wa.gov.au/resources/publications/Pages/ViewPublication.aspx?DocID=558" TargetMode="External"/><Relationship Id="rId4" Type="http://schemas.openxmlformats.org/officeDocument/2006/relationships/settings" Target="settings.xml"/><Relationship Id="rId9" Type="http://schemas.openxmlformats.org/officeDocument/2006/relationships/hyperlink" Target="http://www.ashburton.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BFC1-2470-428E-9065-95C84A2A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POLICY No:</vt:lpstr>
    </vt:vector>
  </TitlesOfParts>
  <Company>Shire of Wyndham East Kimberley</Company>
  <LinksUpToDate>false</LinksUpToDate>
  <CharactersWithSpaces>17862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dc:title>
  <dc:creator>paulb</dc:creator>
  <cp:lastModifiedBy>Narelle Steele</cp:lastModifiedBy>
  <cp:revision>2</cp:revision>
  <cp:lastPrinted>2010-01-08T04:51:00Z</cp:lastPrinted>
  <dcterms:created xsi:type="dcterms:W3CDTF">2018-06-21T02:47:00Z</dcterms:created>
  <dcterms:modified xsi:type="dcterms:W3CDTF">2018-06-21T02:47:00Z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